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FB7F" w14:textId="72A28904" w:rsidR="00253A86" w:rsidRPr="009E79DD" w:rsidRDefault="009E79DD" w:rsidP="00253A86">
      <w:pPr>
        <w:jc w:val="both"/>
        <w:rPr>
          <w:rFonts w:ascii="Gill Sans MT" w:hAnsi="Gill Sans MT"/>
          <w:b/>
          <w:sz w:val="28"/>
          <w:szCs w:val="24"/>
        </w:rPr>
      </w:pPr>
      <w:r w:rsidRPr="009E79DD">
        <w:rPr>
          <w:rFonts w:ascii="Gill Sans MT" w:hAnsi="Gill Sans MT"/>
          <w:b/>
          <w:sz w:val="28"/>
          <w:szCs w:val="24"/>
        </w:rPr>
        <w:t>SPORTS ENGAGEMENT APPLICATION CRITERIA</w:t>
      </w:r>
    </w:p>
    <w:p w14:paraId="5C05F759" w14:textId="186D77C9" w:rsidR="00253A86" w:rsidRPr="004708E5" w:rsidRDefault="004708E5" w:rsidP="00253A86">
      <w:pPr>
        <w:jc w:val="both"/>
        <w:rPr>
          <w:rFonts w:ascii="Gill Sans MT" w:hAnsi="Gill Sans MT"/>
          <w:b/>
          <w:sz w:val="24"/>
          <w:szCs w:val="24"/>
        </w:rPr>
      </w:pPr>
      <w:r w:rsidRPr="004708E5">
        <w:rPr>
          <w:rFonts w:ascii="Gill Sans MT" w:hAnsi="Gill Sans MT"/>
          <w:b/>
          <w:sz w:val="24"/>
          <w:szCs w:val="24"/>
        </w:rPr>
        <w:t>ELIGIBILITY</w:t>
      </w:r>
    </w:p>
    <w:p w14:paraId="6BEF04B8" w14:textId="77777777" w:rsidR="00253A86" w:rsidRPr="004708E5" w:rsidRDefault="00253A86" w:rsidP="00812A10">
      <w:pPr>
        <w:pStyle w:val="ListParagraph"/>
        <w:numPr>
          <w:ilvl w:val="0"/>
          <w:numId w:val="1"/>
        </w:numPr>
        <w:ind w:left="426" w:hanging="426"/>
        <w:rPr>
          <w:szCs w:val="24"/>
        </w:rPr>
      </w:pPr>
      <w:r w:rsidRPr="004708E5">
        <w:rPr>
          <w:szCs w:val="24"/>
        </w:rPr>
        <w:t>Only Clubs ratified by the Athletic Union and recognised by The University of Northampton Students’ Union are eligible to apply for funding.</w:t>
      </w:r>
    </w:p>
    <w:p w14:paraId="6A0DD70D" w14:textId="43B3DE9A" w:rsidR="00812A10" w:rsidRDefault="00253A86" w:rsidP="00812A10">
      <w:pPr>
        <w:pStyle w:val="ListParagraph"/>
        <w:numPr>
          <w:ilvl w:val="0"/>
          <w:numId w:val="1"/>
        </w:numPr>
        <w:ind w:left="426" w:hanging="426"/>
        <w:rPr>
          <w:szCs w:val="24"/>
        </w:rPr>
      </w:pPr>
      <w:r w:rsidRPr="004708E5">
        <w:rPr>
          <w:szCs w:val="24"/>
        </w:rPr>
        <w:t>Applicants must demonstrate how their proposed project will help towards achieving the following Students’ Union aims:</w:t>
      </w:r>
    </w:p>
    <w:p w14:paraId="666F81F3" w14:textId="77777777" w:rsidR="00812A10" w:rsidRPr="00812A10" w:rsidRDefault="00812A10" w:rsidP="00812A10">
      <w:pPr>
        <w:pStyle w:val="ListParagraph"/>
        <w:ind w:left="360"/>
        <w:rPr>
          <w:szCs w:val="24"/>
        </w:rPr>
      </w:pPr>
    </w:p>
    <w:p w14:paraId="2DA9BB37" w14:textId="77777777" w:rsidR="00253A86" w:rsidRPr="00812A10" w:rsidRDefault="00253A86" w:rsidP="00253A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812A10">
        <w:rPr>
          <w:rFonts w:eastAsia="Calibri" w:cs="Times New Roman"/>
          <w:b/>
          <w:szCs w:val="24"/>
        </w:rPr>
        <w:t xml:space="preserve">Participation </w:t>
      </w:r>
    </w:p>
    <w:p w14:paraId="637FE879" w14:textId="795285BF" w:rsidR="00253A86" w:rsidRPr="00812A10" w:rsidRDefault="00253A86" w:rsidP="00812A10">
      <w:pPr>
        <w:pStyle w:val="ListParagraph"/>
        <w:numPr>
          <w:ilvl w:val="2"/>
          <w:numId w:val="8"/>
        </w:numPr>
        <w:spacing w:after="0"/>
        <w:ind w:left="993" w:hanging="284"/>
        <w:rPr>
          <w:rFonts w:eastAsia="Calibri" w:cs="Times New Roman"/>
          <w:szCs w:val="24"/>
        </w:rPr>
      </w:pPr>
      <w:r w:rsidRPr="00812A10">
        <w:rPr>
          <w:rFonts w:eastAsia="Calibri" w:cs="Times New Roman"/>
          <w:szCs w:val="24"/>
        </w:rPr>
        <w:t>Engagement with the 25+ community</w:t>
      </w:r>
      <w:r w:rsidR="00812A10">
        <w:rPr>
          <w:rFonts w:eastAsia="Calibri" w:cs="Times New Roman"/>
          <w:szCs w:val="24"/>
        </w:rPr>
        <w:t>;</w:t>
      </w:r>
    </w:p>
    <w:p w14:paraId="3D064C57" w14:textId="4E7668F9" w:rsidR="00253A86" w:rsidRPr="00812A10" w:rsidRDefault="00253A86" w:rsidP="00812A10">
      <w:pPr>
        <w:pStyle w:val="ListParagraph"/>
        <w:numPr>
          <w:ilvl w:val="2"/>
          <w:numId w:val="8"/>
        </w:numPr>
        <w:spacing w:after="0"/>
        <w:ind w:left="993" w:hanging="284"/>
        <w:rPr>
          <w:rFonts w:eastAsia="Calibri" w:cs="Times New Roman"/>
          <w:szCs w:val="24"/>
        </w:rPr>
      </w:pPr>
      <w:r w:rsidRPr="00812A10">
        <w:rPr>
          <w:rFonts w:eastAsia="Calibri" w:cs="Times New Roman"/>
          <w:szCs w:val="24"/>
        </w:rPr>
        <w:t xml:space="preserve">Engagement with </w:t>
      </w:r>
      <w:r w:rsidR="00812A10">
        <w:rPr>
          <w:rFonts w:eastAsia="Calibri" w:cs="Times New Roman"/>
          <w:szCs w:val="24"/>
        </w:rPr>
        <w:t>s</w:t>
      </w:r>
      <w:r w:rsidRPr="00812A10">
        <w:rPr>
          <w:rFonts w:eastAsia="Calibri" w:cs="Times New Roman"/>
          <w:szCs w:val="24"/>
        </w:rPr>
        <w:t>tudents at Partner Colleges</w:t>
      </w:r>
      <w:r w:rsidR="00812A10">
        <w:rPr>
          <w:rFonts w:eastAsia="Calibri" w:cs="Times New Roman"/>
          <w:szCs w:val="24"/>
        </w:rPr>
        <w:t>,</w:t>
      </w:r>
      <w:r w:rsidRPr="00812A10">
        <w:rPr>
          <w:rFonts w:eastAsia="Calibri" w:cs="Times New Roman"/>
          <w:szCs w:val="24"/>
        </w:rPr>
        <w:t xml:space="preserve"> e.g. Moulton College</w:t>
      </w:r>
      <w:r w:rsidR="00812A10">
        <w:rPr>
          <w:rFonts w:eastAsia="Calibri" w:cs="Times New Roman"/>
          <w:szCs w:val="24"/>
        </w:rPr>
        <w:t>;</w:t>
      </w:r>
    </w:p>
    <w:p w14:paraId="35AB6C0A" w14:textId="2FA5FF7C" w:rsidR="00253A86" w:rsidRPr="00812A10" w:rsidRDefault="00253A86" w:rsidP="00812A10">
      <w:pPr>
        <w:pStyle w:val="ListParagraph"/>
        <w:numPr>
          <w:ilvl w:val="2"/>
          <w:numId w:val="8"/>
        </w:numPr>
        <w:spacing w:after="0"/>
        <w:ind w:left="993" w:hanging="284"/>
        <w:rPr>
          <w:rFonts w:eastAsia="Calibri" w:cs="Times New Roman"/>
          <w:szCs w:val="24"/>
        </w:rPr>
      </w:pPr>
      <w:r w:rsidRPr="00812A10">
        <w:rPr>
          <w:rFonts w:eastAsia="Calibri" w:cs="Times New Roman"/>
          <w:szCs w:val="24"/>
        </w:rPr>
        <w:t>Postgraduate involvement and those on vocational courses</w:t>
      </w:r>
      <w:r w:rsidR="00812A10">
        <w:rPr>
          <w:rFonts w:eastAsia="Calibri" w:cs="Times New Roman"/>
          <w:szCs w:val="24"/>
        </w:rPr>
        <w:t>;</w:t>
      </w:r>
    </w:p>
    <w:p w14:paraId="0C5C8B96" w14:textId="0E817E42" w:rsidR="00253A86" w:rsidRPr="00812A10" w:rsidRDefault="00253A86" w:rsidP="00812A10">
      <w:pPr>
        <w:pStyle w:val="ListParagraph"/>
        <w:numPr>
          <w:ilvl w:val="2"/>
          <w:numId w:val="8"/>
        </w:numPr>
        <w:spacing w:after="0"/>
        <w:ind w:left="993" w:hanging="284"/>
        <w:rPr>
          <w:rFonts w:eastAsia="Calibri" w:cs="Times New Roman"/>
          <w:szCs w:val="24"/>
        </w:rPr>
      </w:pPr>
      <w:r w:rsidRPr="00812A10">
        <w:rPr>
          <w:rFonts w:eastAsia="Calibri" w:cs="Times New Roman"/>
          <w:szCs w:val="24"/>
        </w:rPr>
        <w:t>Engagement with Distance Learn</w:t>
      </w:r>
      <w:r w:rsidR="00812A10">
        <w:rPr>
          <w:rFonts w:eastAsia="Calibri" w:cs="Times New Roman"/>
          <w:szCs w:val="24"/>
        </w:rPr>
        <w:t>ers;</w:t>
      </w:r>
    </w:p>
    <w:p w14:paraId="5563A5B3" w14:textId="2B545EE2" w:rsidR="00253A86" w:rsidRPr="00812A10" w:rsidRDefault="00253A86" w:rsidP="00812A10">
      <w:pPr>
        <w:pStyle w:val="ListParagraph"/>
        <w:numPr>
          <w:ilvl w:val="2"/>
          <w:numId w:val="8"/>
        </w:numPr>
        <w:spacing w:after="0"/>
        <w:ind w:left="993" w:hanging="284"/>
        <w:rPr>
          <w:rFonts w:eastAsia="Calibri" w:cs="Times New Roman"/>
          <w:szCs w:val="24"/>
        </w:rPr>
      </w:pPr>
      <w:r w:rsidRPr="00812A10">
        <w:rPr>
          <w:rFonts w:eastAsia="Calibri" w:cs="Times New Roman"/>
          <w:szCs w:val="24"/>
        </w:rPr>
        <w:t>Delivery of non-alcohol events</w:t>
      </w:r>
      <w:r w:rsidR="00812A10">
        <w:rPr>
          <w:rFonts w:eastAsia="Calibri" w:cs="Times New Roman"/>
          <w:szCs w:val="24"/>
        </w:rPr>
        <w:t>.</w:t>
      </w:r>
    </w:p>
    <w:p w14:paraId="0686DE2C" w14:textId="77777777" w:rsidR="00812A10" w:rsidRPr="00253A86" w:rsidRDefault="00812A10" w:rsidP="00253A86">
      <w:pPr>
        <w:spacing w:after="0"/>
        <w:ind w:left="720"/>
        <w:contextualSpacing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14:paraId="6AD8A44F" w14:textId="77777777" w:rsidR="00253A86" w:rsidRPr="00812A10" w:rsidRDefault="00253A86" w:rsidP="00812A10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</w:rPr>
      </w:pPr>
      <w:r w:rsidRPr="00812A10">
        <w:rPr>
          <w:rFonts w:eastAsia="Calibri" w:cs="Times New Roman"/>
          <w:b/>
        </w:rPr>
        <w:t>Diversity</w:t>
      </w:r>
    </w:p>
    <w:p w14:paraId="14245434" w14:textId="1A33B2E1" w:rsidR="00253A86" w:rsidRPr="00812A10" w:rsidRDefault="00253A86" w:rsidP="00812A10">
      <w:pPr>
        <w:pStyle w:val="ListParagraph"/>
        <w:numPr>
          <w:ilvl w:val="2"/>
          <w:numId w:val="9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>Providing activities that enable minority groups (protected under law) to participate</w:t>
      </w:r>
      <w:r w:rsidR="00812A10">
        <w:rPr>
          <w:rFonts w:eastAsia="Calibri" w:cs="Times New Roman"/>
        </w:rPr>
        <w:t>;</w:t>
      </w:r>
      <w:r w:rsidRPr="00812A10">
        <w:rPr>
          <w:rFonts w:eastAsia="Calibri" w:cs="Times New Roman"/>
        </w:rPr>
        <w:t xml:space="preserve"> </w:t>
      </w:r>
    </w:p>
    <w:p w14:paraId="50BEF8C6" w14:textId="4C623150" w:rsidR="00253A86" w:rsidRPr="00812A10" w:rsidRDefault="00253A86" w:rsidP="00812A10">
      <w:pPr>
        <w:pStyle w:val="ListParagraph"/>
        <w:numPr>
          <w:ilvl w:val="2"/>
          <w:numId w:val="9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>Activities that enable disabled students to participate</w:t>
      </w:r>
      <w:r w:rsidR="00812A10">
        <w:rPr>
          <w:rFonts w:eastAsia="Calibri" w:cs="Times New Roman"/>
        </w:rPr>
        <w:t>;</w:t>
      </w:r>
    </w:p>
    <w:p w14:paraId="495AB260" w14:textId="7DB105E2" w:rsidR="00253A86" w:rsidRPr="00812A10" w:rsidRDefault="00253A86" w:rsidP="00812A10">
      <w:pPr>
        <w:pStyle w:val="ListParagraph"/>
        <w:numPr>
          <w:ilvl w:val="2"/>
          <w:numId w:val="9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 xml:space="preserve">Activities that engage with </w:t>
      </w:r>
      <w:r w:rsidR="00812A10">
        <w:rPr>
          <w:rFonts w:eastAsia="Calibri" w:cs="Times New Roman"/>
        </w:rPr>
        <w:t>LGBT+ or female students, or those of faith;</w:t>
      </w:r>
      <w:r w:rsidRPr="00812A10">
        <w:rPr>
          <w:rFonts w:eastAsia="Calibri" w:cs="Times New Roman"/>
        </w:rPr>
        <w:t xml:space="preserve"> </w:t>
      </w:r>
    </w:p>
    <w:p w14:paraId="3779DCAD" w14:textId="74F3DC79" w:rsidR="00253A86" w:rsidRPr="00812A10" w:rsidRDefault="00253A86" w:rsidP="00812A10">
      <w:pPr>
        <w:pStyle w:val="ListParagraph"/>
        <w:numPr>
          <w:ilvl w:val="2"/>
          <w:numId w:val="9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 xml:space="preserve">Providing activities targeted at </w:t>
      </w:r>
      <w:r w:rsidR="00812A10">
        <w:rPr>
          <w:rFonts w:eastAsia="Calibri" w:cs="Times New Roman"/>
        </w:rPr>
        <w:t>i</w:t>
      </w:r>
      <w:r w:rsidRPr="00812A10">
        <w:rPr>
          <w:rFonts w:eastAsia="Calibri" w:cs="Times New Roman"/>
        </w:rPr>
        <w:t xml:space="preserve">nternational </w:t>
      </w:r>
      <w:r w:rsidR="00812A10">
        <w:rPr>
          <w:rFonts w:eastAsia="Calibri" w:cs="Times New Roman"/>
        </w:rPr>
        <w:t>s</w:t>
      </w:r>
      <w:r w:rsidRPr="00812A10">
        <w:rPr>
          <w:rFonts w:eastAsia="Calibri" w:cs="Times New Roman"/>
        </w:rPr>
        <w:t>tudents</w:t>
      </w:r>
      <w:r w:rsidR="00812A10">
        <w:rPr>
          <w:rFonts w:eastAsia="Calibri" w:cs="Times New Roman"/>
        </w:rPr>
        <w:t>;</w:t>
      </w:r>
    </w:p>
    <w:p w14:paraId="59139D7B" w14:textId="13412471" w:rsidR="00253A86" w:rsidRDefault="00253A86" w:rsidP="00812A10">
      <w:pPr>
        <w:pStyle w:val="ListParagraph"/>
        <w:numPr>
          <w:ilvl w:val="2"/>
          <w:numId w:val="9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>Engagement of those studying on vocational courses</w:t>
      </w:r>
      <w:r w:rsidR="00812A10">
        <w:rPr>
          <w:rFonts w:eastAsia="Calibri" w:cs="Times New Roman"/>
        </w:rPr>
        <w:t>.</w:t>
      </w:r>
    </w:p>
    <w:p w14:paraId="6C665A5A" w14:textId="77777777" w:rsidR="00812A10" w:rsidRPr="00812A10" w:rsidRDefault="00812A10" w:rsidP="00812A10">
      <w:pPr>
        <w:spacing w:after="0"/>
        <w:rPr>
          <w:rFonts w:eastAsia="Calibri" w:cs="Times New Roman"/>
        </w:rPr>
      </w:pPr>
    </w:p>
    <w:p w14:paraId="608D6035" w14:textId="77777777" w:rsidR="00253A86" w:rsidRPr="00812A10" w:rsidRDefault="00253A86" w:rsidP="00253A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812A10">
        <w:rPr>
          <w:rFonts w:eastAsia="Calibri" w:cs="Times New Roman"/>
          <w:b/>
        </w:rPr>
        <w:t>Development</w:t>
      </w:r>
    </w:p>
    <w:p w14:paraId="2AB0BA01" w14:textId="5AEE221D" w:rsidR="00253A86" w:rsidRPr="00812A10" w:rsidRDefault="00253A86" w:rsidP="00812A10">
      <w:pPr>
        <w:pStyle w:val="ListParagraph"/>
        <w:numPr>
          <w:ilvl w:val="2"/>
          <w:numId w:val="10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 xml:space="preserve">Enhancing the leadership of the group for the benefit of members and </w:t>
      </w:r>
      <w:r w:rsidR="00812A10">
        <w:rPr>
          <w:rFonts w:eastAsia="Calibri" w:cs="Times New Roman"/>
        </w:rPr>
        <w:t xml:space="preserve">the </w:t>
      </w:r>
      <w:r w:rsidRPr="00812A10">
        <w:rPr>
          <w:rFonts w:eastAsia="Calibri" w:cs="Times New Roman"/>
        </w:rPr>
        <w:t>wider student population</w:t>
      </w:r>
      <w:r w:rsidR="00812A10">
        <w:rPr>
          <w:rFonts w:eastAsia="Calibri" w:cs="Times New Roman"/>
        </w:rPr>
        <w:t>;</w:t>
      </w:r>
    </w:p>
    <w:p w14:paraId="58DC8FA7" w14:textId="7C9F9031" w:rsidR="00253A86" w:rsidRPr="00812A10" w:rsidRDefault="00253A86" w:rsidP="00812A10">
      <w:pPr>
        <w:pStyle w:val="ListParagraph"/>
        <w:numPr>
          <w:ilvl w:val="2"/>
          <w:numId w:val="10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>Providing developmental opportunities (or employability skills) for the wider student population</w:t>
      </w:r>
      <w:r w:rsidR="00812A10">
        <w:rPr>
          <w:rFonts w:eastAsia="Calibri" w:cs="Times New Roman"/>
        </w:rPr>
        <w:t>;</w:t>
      </w:r>
    </w:p>
    <w:p w14:paraId="207FEAF6" w14:textId="2FC994A5" w:rsidR="00253A86" w:rsidRPr="00812A10" w:rsidRDefault="00253A86" w:rsidP="00812A10">
      <w:pPr>
        <w:pStyle w:val="ListParagraph"/>
        <w:numPr>
          <w:ilvl w:val="2"/>
          <w:numId w:val="10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>Employability</w:t>
      </w:r>
      <w:r w:rsidR="00812A10">
        <w:rPr>
          <w:rFonts w:eastAsia="Calibri" w:cs="Times New Roman"/>
        </w:rPr>
        <w:t>-f</w:t>
      </w:r>
      <w:r w:rsidRPr="00812A10">
        <w:rPr>
          <w:rFonts w:eastAsia="Calibri" w:cs="Times New Roman"/>
        </w:rPr>
        <w:t>ocussed (</w:t>
      </w:r>
      <w:r w:rsidR="00812A10">
        <w:rPr>
          <w:rFonts w:eastAsia="Calibri" w:cs="Times New Roman"/>
        </w:rPr>
        <w:t>l</w:t>
      </w:r>
      <w:r w:rsidRPr="00812A10">
        <w:rPr>
          <w:rFonts w:eastAsia="Calibri" w:cs="Times New Roman"/>
        </w:rPr>
        <w:t>inking in with the Employability Plus Scheme)</w:t>
      </w:r>
      <w:r w:rsidR="00812A10">
        <w:rPr>
          <w:rFonts w:eastAsia="Calibri" w:cs="Times New Roman"/>
        </w:rPr>
        <w:t>;</w:t>
      </w:r>
    </w:p>
    <w:p w14:paraId="6665AB6B" w14:textId="2CD59300" w:rsidR="00253A86" w:rsidRPr="00812A10" w:rsidRDefault="00253A86" w:rsidP="00812A10">
      <w:pPr>
        <w:pStyle w:val="ListParagraph"/>
        <w:numPr>
          <w:ilvl w:val="2"/>
          <w:numId w:val="10"/>
        </w:numPr>
        <w:spacing w:after="0"/>
        <w:ind w:left="993" w:hanging="284"/>
        <w:rPr>
          <w:rFonts w:eastAsia="Calibri" w:cs="Times New Roman"/>
        </w:rPr>
      </w:pPr>
      <w:r w:rsidRPr="00812A10">
        <w:rPr>
          <w:rFonts w:eastAsia="Calibri" w:cs="Times New Roman"/>
        </w:rPr>
        <w:t xml:space="preserve">Campaigning </w:t>
      </w:r>
      <w:r w:rsidR="00812A10">
        <w:rPr>
          <w:rFonts w:eastAsia="Calibri" w:cs="Times New Roman"/>
        </w:rPr>
        <w:t>e</w:t>
      </w:r>
      <w:r w:rsidRPr="00812A10">
        <w:rPr>
          <w:rFonts w:eastAsia="Calibri" w:cs="Times New Roman"/>
        </w:rPr>
        <w:t>vent (</w:t>
      </w:r>
      <w:r w:rsidR="00812A10">
        <w:rPr>
          <w:rFonts w:eastAsia="Calibri" w:cs="Times New Roman"/>
        </w:rPr>
        <w:t xml:space="preserve">to </w:t>
      </w:r>
      <w:r w:rsidRPr="00812A10">
        <w:rPr>
          <w:rFonts w:eastAsia="Calibri" w:cs="Times New Roman"/>
        </w:rPr>
        <w:t>rais</w:t>
      </w:r>
      <w:r w:rsidR="00812A10">
        <w:rPr>
          <w:rFonts w:eastAsia="Calibri" w:cs="Times New Roman"/>
        </w:rPr>
        <w:t>e</w:t>
      </w:r>
      <w:r w:rsidRPr="00812A10">
        <w:rPr>
          <w:rFonts w:eastAsia="Calibri" w:cs="Times New Roman"/>
        </w:rPr>
        <w:t xml:space="preserve"> awareness)</w:t>
      </w:r>
      <w:r w:rsidR="00812A10">
        <w:rPr>
          <w:rFonts w:eastAsia="Calibri" w:cs="Times New Roman"/>
        </w:rPr>
        <w:t>;</w:t>
      </w:r>
    </w:p>
    <w:p w14:paraId="656E0FB8" w14:textId="71A6422A" w:rsidR="00253A86" w:rsidRPr="00812A10" w:rsidRDefault="00253A86" w:rsidP="00812A10">
      <w:pPr>
        <w:pStyle w:val="ListParagraph"/>
        <w:numPr>
          <w:ilvl w:val="2"/>
          <w:numId w:val="10"/>
        </w:numPr>
        <w:spacing w:after="0"/>
        <w:ind w:left="993" w:hanging="284"/>
        <w:rPr>
          <w:rFonts w:eastAsia="Calibri" w:cs="Arial"/>
          <w:b/>
          <w:i/>
        </w:rPr>
      </w:pPr>
      <w:r w:rsidRPr="00812A10">
        <w:rPr>
          <w:rFonts w:eastAsia="Calibri" w:cs="Times New Roman"/>
        </w:rPr>
        <w:t>Peer</w:t>
      </w:r>
      <w:r w:rsidR="00812A10">
        <w:rPr>
          <w:rFonts w:eastAsia="Calibri" w:cs="Times New Roman"/>
        </w:rPr>
        <w:t>-s</w:t>
      </w:r>
      <w:r w:rsidRPr="00812A10">
        <w:rPr>
          <w:rFonts w:eastAsia="Calibri" w:cs="Times New Roman"/>
        </w:rPr>
        <w:t>upported event</w:t>
      </w:r>
      <w:r w:rsidR="00812A10">
        <w:rPr>
          <w:rFonts w:eastAsia="Calibri" w:cs="Times New Roman"/>
        </w:rPr>
        <w:t>.</w:t>
      </w:r>
    </w:p>
    <w:p w14:paraId="124530B5" w14:textId="77777777" w:rsidR="00812A10" w:rsidRPr="00812A10" w:rsidRDefault="00812A10" w:rsidP="00812A10">
      <w:pPr>
        <w:pStyle w:val="ListParagraph"/>
        <w:spacing w:after="0"/>
        <w:ind w:left="993"/>
        <w:rPr>
          <w:rFonts w:eastAsia="Calibri" w:cs="Arial"/>
        </w:rPr>
      </w:pPr>
    </w:p>
    <w:p w14:paraId="4A5DFC9B" w14:textId="77777777" w:rsidR="00253A86" w:rsidRPr="00253A86" w:rsidRDefault="00253A86" w:rsidP="00253A86">
      <w:pPr>
        <w:spacing w:after="0"/>
        <w:ind w:left="720"/>
        <w:contextualSpacing/>
        <w:jc w:val="both"/>
        <w:rPr>
          <w:rFonts w:eastAsia="Calibri" w:cs="Arial"/>
          <w:b/>
          <w:i/>
          <w:sz w:val="24"/>
          <w:szCs w:val="24"/>
        </w:rPr>
      </w:pPr>
    </w:p>
    <w:p w14:paraId="12B09C54" w14:textId="24DDA76D" w:rsidR="00253A86" w:rsidRPr="00812A10" w:rsidRDefault="00253A86" w:rsidP="003C6375">
      <w:pPr>
        <w:pStyle w:val="ListParagraph"/>
        <w:numPr>
          <w:ilvl w:val="0"/>
          <w:numId w:val="3"/>
        </w:numPr>
        <w:spacing w:after="0"/>
        <w:ind w:left="426" w:hanging="426"/>
        <w:rPr>
          <w:rFonts w:cs="Arial"/>
          <w:i/>
        </w:rPr>
      </w:pPr>
      <w:r w:rsidRPr="00812A10">
        <w:rPr>
          <w:rFonts w:cs="Arial"/>
        </w:rPr>
        <w:t xml:space="preserve">Applicants must produce a detailed budget to show all expenditure and income for the event/activity, including the amount </w:t>
      </w:r>
      <w:r w:rsidR="003C6375">
        <w:rPr>
          <w:rFonts w:cs="Arial"/>
        </w:rPr>
        <w:t xml:space="preserve">that </w:t>
      </w:r>
      <w:r w:rsidRPr="00812A10">
        <w:rPr>
          <w:rFonts w:cs="Arial"/>
        </w:rPr>
        <w:t>the Club would be able to contribute to these costs, alongside the grant</w:t>
      </w:r>
      <w:r w:rsidR="003C6375">
        <w:rPr>
          <w:rFonts w:cs="Arial"/>
        </w:rPr>
        <w:t>.</w:t>
      </w:r>
    </w:p>
    <w:p w14:paraId="1C6A0A13" w14:textId="6ED4A51A" w:rsidR="00253A86" w:rsidRPr="00812A10" w:rsidRDefault="00253A86" w:rsidP="003C6375">
      <w:pPr>
        <w:pStyle w:val="ListParagraph"/>
        <w:numPr>
          <w:ilvl w:val="0"/>
          <w:numId w:val="3"/>
        </w:numPr>
        <w:spacing w:after="0"/>
        <w:ind w:left="426" w:hanging="426"/>
        <w:rPr>
          <w:rFonts w:cs="Arial"/>
          <w:i/>
        </w:rPr>
      </w:pPr>
      <w:r w:rsidRPr="00812A10">
        <w:rPr>
          <w:rFonts w:cs="Arial"/>
        </w:rPr>
        <w:t>The project application can include equipment, transport or external guests</w:t>
      </w:r>
      <w:r w:rsidR="003C6375">
        <w:rPr>
          <w:rFonts w:cs="Arial"/>
        </w:rPr>
        <w:t xml:space="preserve"> –</w:t>
      </w:r>
      <w:r w:rsidRPr="00812A10">
        <w:rPr>
          <w:rFonts w:cs="Arial"/>
        </w:rPr>
        <w:t xml:space="preserve"> anything that might be needed to enable the event to go ahead.</w:t>
      </w:r>
    </w:p>
    <w:p w14:paraId="2B11404A" w14:textId="6ECED080" w:rsidR="00253A86" w:rsidRPr="00812A10" w:rsidRDefault="00253A86" w:rsidP="003C6375">
      <w:pPr>
        <w:pStyle w:val="ListParagraph"/>
        <w:numPr>
          <w:ilvl w:val="0"/>
          <w:numId w:val="3"/>
        </w:numPr>
        <w:spacing w:after="0"/>
        <w:ind w:left="426" w:hanging="426"/>
        <w:rPr>
          <w:rFonts w:cs="Arial"/>
          <w:i/>
        </w:rPr>
      </w:pPr>
      <w:r w:rsidRPr="00812A10">
        <w:rPr>
          <w:rFonts w:cs="Arial"/>
        </w:rPr>
        <w:t>Applicants must provide feedback on their project to the Allocations Committee, as requested</w:t>
      </w:r>
      <w:r w:rsidR="003C6375">
        <w:rPr>
          <w:rFonts w:cs="Arial"/>
        </w:rPr>
        <w:t>.</w:t>
      </w:r>
    </w:p>
    <w:p w14:paraId="4FDC1200" w14:textId="77777777" w:rsidR="00253A86" w:rsidRDefault="00253A86" w:rsidP="00253A86">
      <w:pPr>
        <w:spacing w:after="0"/>
        <w:jc w:val="both"/>
        <w:rPr>
          <w:rFonts w:cs="Arial"/>
          <w:i/>
          <w:sz w:val="24"/>
          <w:szCs w:val="24"/>
        </w:rPr>
      </w:pPr>
    </w:p>
    <w:p w14:paraId="39F0A063" w14:textId="77777777" w:rsidR="00812A10" w:rsidRDefault="00812A10" w:rsidP="00253A86">
      <w:pPr>
        <w:spacing w:after="0"/>
        <w:jc w:val="both"/>
        <w:rPr>
          <w:rFonts w:cs="Arial"/>
          <w:b/>
          <w:i/>
          <w:color w:val="800000"/>
          <w:sz w:val="24"/>
          <w:szCs w:val="24"/>
        </w:rPr>
      </w:pPr>
    </w:p>
    <w:p w14:paraId="10ACECC4" w14:textId="77777777" w:rsidR="00812A10" w:rsidRDefault="00812A10" w:rsidP="00253A86">
      <w:pPr>
        <w:spacing w:after="0"/>
        <w:jc w:val="both"/>
        <w:rPr>
          <w:rFonts w:cs="Arial"/>
          <w:b/>
          <w:i/>
          <w:color w:val="800000"/>
          <w:sz w:val="24"/>
          <w:szCs w:val="24"/>
        </w:rPr>
      </w:pPr>
    </w:p>
    <w:p w14:paraId="0F9549F2" w14:textId="77777777" w:rsidR="00812A10" w:rsidRDefault="00812A10" w:rsidP="00253A86">
      <w:pPr>
        <w:spacing w:after="0"/>
        <w:jc w:val="both"/>
        <w:rPr>
          <w:rFonts w:cs="Arial"/>
          <w:b/>
          <w:i/>
          <w:color w:val="800000"/>
          <w:sz w:val="24"/>
          <w:szCs w:val="24"/>
        </w:rPr>
      </w:pPr>
    </w:p>
    <w:p w14:paraId="48AB6FE7" w14:textId="5554A47A" w:rsidR="00253A86" w:rsidRPr="00E42258" w:rsidRDefault="003C6375" w:rsidP="00E42258">
      <w:pPr>
        <w:rPr>
          <w:rFonts w:ascii="Gill Sans MT" w:hAnsi="Gill Sans MT"/>
          <w:b/>
          <w:sz w:val="24"/>
          <w:szCs w:val="24"/>
        </w:rPr>
      </w:pPr>
      <w:r w:rsidRPr="00E42258">
        <w:rPr>
          <w:rFonts w:ascii="Gill Sans MT" w:hAnsi="Gill Sans MT"/>
          <w:b/>
          <w:sz w:val="24"/>
          <w:szCs w:val="24"/>
        </w:rPr>
        <w:t>RESTRICTIONS</w:t>
      </w:r>
    </w:p>
    <w:p w14:paraId="73F0CBF4" w14:textId="166F2C39" w:rsidR="00253A86" w:rsidRDefault="00253A86" w:rsidP="00E42258">
      <w:r w:rsidRPr="003C6375">
        <w:t>Below is a list of additional financial support</w:t>
      </w:r>
      <w:r w:rsidR="003C6375" w:rsidRPr="003C6375">
        <w:t xml:space="preserve"> </w:t>
      </w:r>
      <w:r w:rsidRPr="003C6375">
        <w:t>that cannot be applied for. This list is by no means exhaustive</w:t>
      </w:r>
      <w:r w:rsidR="003C6375">
        <w:t>:</w:t>
      </w:r>
    </w:p>
    <w:p w14:paraId="77CD4413" w14:textId="186A8202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>To purchase alcohol and tobacco</w:t>
      </w:r>
      <w:r w:rsidR="003C6375">
        <w:rPr>
          <w:rFonts w:cs="Arial"/>
        </w:rPr>
        <w:t>;</w:t>
      </w:r>
    </w:p>
    <w:p w14:paraId="18B99799" w14:textId="22746C84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 xml:space="preserve">To pay for an event </w:t>
      </w:r>
      <w:r w:rsidR="003C6375">
        <w:rPr>
          <w:rFonts w:cs="Arial"/>
        </w:rPr>
        <w:t>whose</w:t>
      </w:r>
      <w:r w:rsidRPr="003C6375">
        <w:rPr>
          <w:rFonts w:cs="Arial"/>
        </w:rPr>
        <w:t xml:space="preserve"> primary aim is to fundraise for another charity</w:t>
      </w:r>
      <w:r w:rsidR="003C6375">
        <w:rPr>
          <w:rFonts w:cs="Arial"/>
        </w:rPr>
        <w:t>;</w:t>
      </w:r>
    </w:p>
    <w:p w14:paraId="22F98474" w14:textId="6773B721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>To pay for activities aimed to fundraise for a political party</w:t>
      </w:r>
      <w:r w:rsidR="003C6375">
        <w:rPr>
          <w:rFonts w:cs="Arial"/>
        </w:rPr>
        <w:t>;</w:t>
      </w:r>
    </w:p>
    <w:p w14:paraId="595B0EA3" w14:textId="2FA4AD1D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 xml:space="preserve">If the event/activity is seen to </w:t>
      </w:r>
      <w:r w:rsidR="003C6375">
        <w:rPr>
          <w:rFonts w:cs="Arial"/>
        </w:rPr>
        <w:t>contravene</w:t>
      </w:r>
      <w:r w:rsidRPr="003C6375">
        <w:rPr>
          <w:rFonts w:cs="Arial"/>
        </w:rPr>
        <w:t xml:space="preserve"> the Students’ Union</w:t>
      </w:r>
      <w:r w:rsidR="003C6375">
        <w:rPr>
          <w:rFonts w:cs="Arial"/>
        </w:rPr>
        <w:t>’s</w:t>
      </w:r>
      <w:r w:rsidRPr="003C6375">
        <w:rPr>
          <w:rFonts w:cs="Arial"/>
        </w:rPr>
        <w:t xml:space="preserve"> Constitution, policies </w:t>
      </w:r>
      <w:r w:rsidR="003C6375">
        <w:rPr>
          <w:rFonts w:cs="Arial"/>
        </w:rPr>
        <w:t xml:space="preserve">or </w:t>
      </w:r>
      <w:r w:rsidRPr="003C6375">
        <w:rPr>
          <w:rFonts w:cs="Arial"/>
        </w:rPr>
        <w:t>core values</w:t>
      </w:r>
      <w:r w:rsidR="003C6375">
        <w:rPr>
          <w:rFonts w:cs="Arial"/>
        </w:rPr>
        <w:t>;</w:t>
      </w:r>
    </w:p>
    <w:p w14:paraId="154D5B69" w14:textId="38E5BFE5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 xml:space="preserve">The money </w:t>
      </w:r>
      <w:r w:rsidR="003C6375">
        <w:rPr>
          <w:rFonts w:cs="Arial"/>
        </w:rPr>
        <w:t>would</w:t>
      </w:r>
      <w:r w:rsidRPr="003C6375">
        <w:rPr>
          <w:rFonts w:cs="Arial"/>
        </w:rPr>
        <w:t xml:space="preserve"> benefit only an individual or small number</w:t>
      </w:r>
      <w:r w:rsidR="003C6375">
        <w:rPr>
          <w:rFonts w:cs="Arial"/>
        </w:rPr>
        <w:t xml:space="preserve"> of students</w:t>
      </w:r>
      <w:r w:rsidRPr="003C6375">
        <w:rPr>
          <w:rFonts w:cs="Arial"/>
        </w:rPr>
        <w:t>, not the wider membership of your group</w:t>
      </w:r>
      <w:r w:rsidR="003C6375">
        <w:rPr>
          <w:rFonts w:cs="Arial"/>
        </w:rPr>
        <w:t>;</w:t>
      </w:r>
    </w:p>
    <w:p w14:paraId="53B8769A" w14:textId="60FF8051" w:rsidR="00253A86" w:rsidRPr="003C6375" w:rsidRDefault="00253A86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 w:rsidRPr="003C6375">
        <w:rPr>
          <w:rFonts w:cs="Arial"/>
        </w:rPr>
        <w:t>Does not meet the Club’s own constitutional aims</w:t>
      </w:r>
      <w:r w:rsidR="003C6375">
        <w:rPr>
          <w:rFonts w:cs="Arial"/>
        </w:rPr>
        <w:t>;</w:t>
      </w:r>
    </w:p>
    <w:p w14:paraId="66AAD945" w14:textId="11CB3505" w:rsidR="00253A86" w:rsidRDefault="00E32A91" w:rsidP="003C6375">
      <w:pPr>
        <w:pStyle w:val="ListParagraph"/>
        <w:numPr>
          <w:ilvl w:val="0"/>
          <w:numId w:val="11"/>
        </w:numPr>
        <w:spacing w:after="0"/>
        <w:ind w:left="993" w:hanging="284"/>
        <w:rPr>
          <w:rFonts w:cs="Arial"/>
        </w:rPr>
      </w:pPr>
      <w:r>
        <w:rPr>
          <w:rFonts w:cs="Arial"/>
        </w:rPr>
        <w:t>To fund</w:t>
      </w:r>
      <w:r w:rsidR="00253A86" w:rsidRPr="003C6375">
        <w:rPr>
          <w:rFonts w:cs="Arial"/>
        </w:rPr>
        <w:t xml:space="preserve"> existing projects for which applicants already receive a block grant subsidy</w:t>
      </w:r>
      <w:r>
        <w:rPr>
          <w:rFonts w:cs="Arial"/>
        </w:rPr>
        <w:t>,</w:t>
      </w:r>
      <w:r w:rsidR="00253A86" w:rsidRPr="003C6375">
        <w:rPr>
          <w:rFonts w:cs="Arial"/>
        </w:rPr>
        <w:t xml:space="preserve"> e.g. a Bronze</w:t>
      </w:r>
      <w:r>
        <w:rPr>
          <w:rFonts w:cs="Arial"/>
        </w:rPr>
        <w:t>-</w:t>
      </w:r>
      <w:r w:rsidR="00253A86" w:rsidRPr="003C6375">
        <w:rPr>
          <w:rFonts w:cs="Arial"/>
        </w:rPr>
        <w:t>level Club applying for transport to a BUCS away fixture</w:t>
      </w:r>
      <w:r>
        <w:rPr>
          <w:rFonts w:cs="Arial"/>
        </w:rPr>
        <w:t>.</w:t>
      </w:r>
    </w:p>
    <w:p w14:paraId="52E4C051" w14:textId="77777777" w:rsidR="003C6375" w:rsidRDefault="003C6375" w:rsidP="003C6375">
      <w:pPr>
        <w:spacing w:after="0"/>
        <w:rPr>
          <w:rFonts w:cs="Arial"/>
        </w:rPr>
      </w:pPr>
    </w:p>
    <w:p w14:paraId="51E936EB" w14:textId="4BA62CC4" w:rsidR="003C6375" w:rsidRPr="003C6375" w:rsidRDefault="003C6375" w:rsidP="003C6375">
      <w:pPr>
        <w:spacing w:after="0"/>
        <w:rPr>
          <w:rFonts w:cs="Arial"/>
        </w:rPr>
      </w:pPr>
      <w:r w:rsidRPr="003C6375">
        <w:rPr>
          <w:rFonts w:cs="Arial"/>
        </w:rPr>
        <w:t xml:space="preserve">If you are unsure of </w:t>
      </w:r>
      <w:r w:rsidR="00E32A91">
        <w:rPr>
          <w:rFonts w:cs="Arial"/>
        </w:rPr>
        <w:t>the restrictions in place</w:t>
      </w:r>
      <w:r>
        <w:rPr>
          <w:rFonts w:cs="Arial"/>
        </w:rPr>
        <w:t>,</w:t>
      </w:r>
      <w:r w:rsidRPr="003C6375">
        <w:rPr>
          <w:rFonts w:cs="Arial"/>
        </w:rPr>
        <w:t xml:space="preserve"> please </w:t>
      </w:r>
      <w:r w:rsidR="00E42258">
        <w:rPr>
          <w:rFonts w:cs="Arial"/>
        </w:rPr>
        <w:t xml:space="preserve">email </w:t>
      </w:r>
      <w:hyperlink r:id="rId7" w:history="1">
        <w:r w:rsidR="00E42258" w:rsidRPr="00E42258">
          <w:rPr>
            <w:rStyle w:val="Hyperlink"/>
            <w:rFonts w:cs="Arial"/>
          </w:rPr>
          <w:t>su.sport@northampton.ac.uk</w:t>
        </w:r>
      </w:hyperlink>
      <w:r w:rsidR="00E42258">
        <w:rPr>
          <w:rFonts w:cs="Arial"/>
        </w:rPr>
        <w:t>.</w:t>
      </w:r>
    </w:p>
    <w:p w14:paraId="435E186A" w14:textId="77777777" w:rsidR="00253A86" w:rsidRPr="00253A86" w:rsidRDefault="00253A86" w:rsidP="00253A86">
      <w:pPr>
        <w:pStyle w:val="ListParagraph"/>
        <w:spacing w:after="0"/>
        <w:jc w:val="both"/>
        <w:rPr>
          <w:rFonts w:cs="Arial"/>
          <w:sz w:val="24"/>
          <w:szCs w:val="24"/>
        </w:rPr>
      </w:pPr>
    </w:p>
    <w:p w14:paraId="3ACAEC1A" w14:textId="77777777" w:rsidR="00E42258" w:rsidRDefault="00E42258" w:rsidP="00253A86">
      <w:pPr>
        <w:rPr>
          <w:b/>
          <w:i/>
          <w:color w:val="800000"/>
          <w:sz w:val="24"/>
          <w:szCs w:val="24"/>
        </w:rPr>
      </w:pPr>
    </w:p>
    <w:p w14:paraId="0BDB6703" w14:textId="33B8FFAC" w:rsidR="00253A86" w:rsidRPr="00E42258" w:rsidRDefault="00E42258" w:rsidP="00253A86">
      <w:pPr>
        <w:rPr>
          <w:rFonts w:ascii="Gill Sans MT" w:hAnsi="Gill Sans MT"/>
          <w:sz w:val="24"/>
          <w:szCs w:val="24"/>
        </w:rPr>
      </w:pPr>
      <w:r w:rsidRPr="00E42258">
        <w:rPr>
          <w:rFonts w:ascii="Gill Sans MT" w:hAnsi="Gill Sans MT"/>
          <w:b/>
          <w:sz w:val="24"/>
          <w:szCs w:val="24"/>
        </w:rPr>
        <w:t>THE APPLICATION PROCESS</w:t>
      </w:r>
    </w:p>
    <w:p w14:paraId="7B0BA305" w14:textId="759DEED7" w:rsidR="00253A86" w:rsidRPr="00E42258" w:rsidRDefault="00253A86" w:rsidP="00E42258">
      <w:pPr>
        <w:rPr>
          <w:b/>
        </w:rPr>
      </w:pPr>
      <w:r w:rsidRPr="00E42258">
        <w:t>Applications should be submitted via email to</w:t>
      </w:r>
      <w:r w:rsidR="001B4860" w:rsidRPr="00E42258">
        <w:t xml:space="preserve"> </w:t>
      </w:r>
      <w:hyperlink r:id="rId8" w:history="1">
        <w:r w:rsidR="00E42258" w:rsidRPr="00E42258">
          <w:rPr>
            <w:rStyle w:val="Hyperlink"/>
            <w:rFonts w:cs="Arial"/>
          </w:rPr>
          <w:t>su.sport@northampton.ac.uk</w:t>
        </w:r>
      </w:hyperlink>
      <w:r w:rsidR="00E42258">
        <w:rPr>
          <w:rFonts w:cs="Arial"/>
        </w:rPr>
        <w:t xml:space="preserve"> </w:t>
      </w:r>
      <w:r w:rsidRPr="00E42258">
        <w:t xml:space="preserve">and will be taken to </w:t>
      </w:r>
      <w:r w:rsidR="00E42258">
        <w:t xml:space="preserve">the </w:t>
      </w:r>
      <w:r w:rsidRPr="00E42258">
        <w:t>Allocation</w:t>
      </w:r>
      <w:r w:rsidR="00E42258">
        <w:t>s</w:t>
      </w:r>
      <w:r w:rsidRPr="00E42258">
        <w:t xml:space="preserve"> Committee to review. You can expect to receive a decision on your application within three weeks of submission. You must spend the funding on the items specified in your application</w:t>
      </w:r>
      <w:r w:rsidR="00E42258">
        <w:t xml:space="preserve"> (</w:t>
      </w:r>
      <w:r w:rsidR="00E42258">
        <w:rPr>
          <w:b/>
        </w:rPr>
        <w:t xml:space="preserve">not </w:t>
      </w:r>
      <w:r w:rsidR="00E42258" w:rsidRPr="00E42258">
        <w:t>to cover</w:t>
      </w:r>
      <w:r w:rsidR="00E42258">
        <w:rPr>
          <w:b/>
        </w:rPr>
        <w:t xml:space="preserve"> </w:t>
      </w:r>
      <w:r w:rsidR="00E42258" w:rsidRPr="00E42258">
        <w:rPr>
          <w:rFonts w:cs="Arial"/>
        </w:rPr>
        <w:t>additional costs or extensions to your idea</w:t>
      </w:r>
      <w:r w:rsidR="00E42258">
        <w:rPr>
          <w:rFonts w:cs="Arial"/>
        </w:rPr>
        <w:t>).</w:t>
      </w:r>
    </w:p>
    <w:p w14:paraId="4AA74552" w14:textId="2DAD4B5C" w:rsidR="00253A86" w:rsidRPr="00E42258" w:rsidRDefault="00E42258" w:rsidP="00E42258">
      <w:pPr>
        <w:pStyle w:val="ListParagraph"/>
        <w:numPr>
          <w:ilvl w:val="0"/>
          <w:numId w:val="12"/>
        </w:numPr>
        <w:ind w:left="993" w:hanging="284"/>
        <w:rPr>
          <w:rFonts w:cs="Arial"/>
        </w:rPr>
      </w:pPr>
      <w:r>
        <w:rPr>
          <w:rFonts w:cs="Arial"/>
        </w:rPr>
        <w:t>C</w:t>
      </w:r>
      <w:r w:rsidR="00253A86" w:rsidRPr="00E42258">
        <w:rPr>
          <w:rFonts w:cs="Arial"/>
        </w:rPr>
        <w:t>omplete all forms within the required timeframes (i.e. Risk Assessments, External Speaker Forms).</w:t>
      </w:r>
    </w:p>
    <w:p w14:paraId="269681DB" w14:textId="279ADD63" w:rsidR="00E42258" w:rsidRDefault="00253A86" w:rsidP="00E42258">
      <w:pPr>
        <w:pStyle w:val="ListParagraph"/>
        <w:numPr>
          <w:ilvl w:val="0"/>
          <w:numId w:val="12"/>
        </w:numPr>
        <w:spacing w:after="0"/>
        <w:ind w:left="993"/>
        <w:rPr>
          <w:rFonts w:cs="Arial"/>
        </w:rPr>
      </w:pPr>
      <w:r w:rsidRPr="00E42258">
        <w:rPr>
          <w:rFonts w:cs="Arial"/>
        </w:rPr>
        <w:t>You must provide feedback after your event, demonstrating</w:t>
      </w:r>
      <w:r w:rsidR="00E42258">
        <w:rPr>
          <w:rFonts w:cs="Arial"/>
        </w:rPr>
        <w:t xml:space="preserve"> how successful it was.</w:t>
      </w:r>
    </w:p>
    <w:p w14:paraId="45A1EBF1" w14:textId="4B99F8CE" w:rsidR="00253A86" w:rsidRPr="00E42258" w:rsidRDefault="00253A86" w:rsidP="00E42258">
      <w:pPr>
        <w:pStyle w:val="ListParagraph"/>
        <w:numPr>
          <w:ilvl w:val="0"/>
          <w:numId w:val="12"/>
        </w:numPr>
        <w:spacing w:after="0"/>
        <w:ind w:left="993"/>
        <w:rPr>
          <w:rFonts w:cs="Arial"/>
        </w:rPr>
      </w:pPr>
      <w:r w:rsidRPr="00E42258">
        <w:rPr>
          <w:rFonts w:cs="Arial"/>
        </w:rPr>
        <w:t>If you do not put on the event/activity</w:t>
      </w:r>
      <w:r w:rsidR="00BD179A">
        <w:rPr>
          <w:rFonts w:cs="Arial"/>
        </w:rPr>
        <w:t xml:space="preserve"> for which</w:t>
      </w:r>
      <w:r w:rsidRPr="00E42258">
        <w:rPr>
          <w:rFonts w:cs="Arial"/>
        </w:rPr>
        <w:t xml:space="preserve"> you applied for funding, the Students’ Union holds the right to claim back the money from your </w:t>
      </w:r>
      <w:r w:rsidR="00BD179A">
        <w:rPr>
          <w:rFonts w:cs="Arial"/>
        </w:rPr>
        <w:t>Club’s</w:t>
      </w:r>
      <w:r w:rsidRPr="00E42258">
        <w:rPr>
          <w:rFonts w:cs="Arial"/>
        </w:rPr>
        <w:t xml:space="preserve"> account.</w:t>
      </w:r>
    </w:p>
    <w:p w14:paraId="6FE569A5" w14:textId="31F3813D" w:rsidR="00253A86" w:rsidRPr="00E42258" w:rsidRDefault="00253A86" w:rsidP="00E42258">
      <w:pPr>
        <w:pStyle w:val="ListParagraph"/>
        <w:numPr>
          <w:ilvl w:val="0"/>
          <w:numId w:val="12"/>
        </w:numPr>
        <w:ind w:left="993"/>
        <w:rPr>
          <w:rFonts w:cs="Arial"/>
          <w:b/>
        </w:rPr>
      </w:pPr>
      <w:r w:rsidRPr="00E42258">
        <w:rPr>
          <w:rFonts w:cs="Arial"/>
        </w:rPr>
        <w:t xml:space="preserve">Spend your allocated fund by the end of the term </w:t>
      </w:r>
      <w:r w:rsidR="00BD179A">
        <w:rPr>
          <w:rFonts w:cs="Arial"/>
        </w:rPr>
        <w:t xml:space="preserve">during </w:t>
      </w:r>
      <w:r w:rsidRPr="00E42258">
        <w:rPr>
          <w:rFonts w:cs="Arial"/>
        </w:rPr>
        <w:t xml:space="preserve">which your event is being held.  </w:t>
      </w:r>
      <w:r w:rsidR="00BD179A">
        <w:rPr>
          <w:rFonts w:cs="Arial"/>
        </w:rPr>
        <w:t>Otherwise</w:t>
      </w:r>
      <w:r w:rsidRPr="00E42258">
        <w:rPr>
          <w:rFonts w:cs="Arial"/>
        </w:rPr>
        <w:t xml:space="preserve">, the Students’ Union will claim back the money. </w:t>
      </w:r>
    </w:p>
    <w:p w14:paraId="39D96B08" w14:textId="639ADA47" w:rsidR="00BD179A" w:rsidRPr="00BD179A" w:rsidRDefault="00253A86" w:rsidP="00BD179A">
      <w:pPr>
        <w:pStyle w:val="ListParagraph"/>
        <w:numPr>
          <w:ilvl w:val="0"/>
          <w:numId w:val="12"/>
        </w:numPr>
        <w:ind w:left="993"/>
        <w:rPr>
          <w:rFonts w:cs="Arial"/>
          <w:b/>
        </w:rPr>
      </w:pPr>
      <w:r w:rsidRPr="00E42258">
        <w:rPr>
          <w:rFonts w:cs="Arial"/>
        </w:rPr>
        <w:t>Funding awarded for £1</w:t>
      </w:r>
      <w:r w:rsidR="00BD179A">
        <w:rPr>
          <w:rFonts w:cs="Arial"/>
        </w:rPr>
        <w:t>,</w:t>
      </w:r>
      <w:r w:rsidRPr="00E42258">
        <w:rPr>
          <w:rFonts w:cs="Arial"/>
        </w:rPr>
        <w:t>000 or more will require membership feedback on the event/activity.</w:t>
      </w:r>
    </w:p>
    <w:p w14:paraId="7CD55B84" w14:textId="77777777" w:rsidR="00CB134D" w:rsidRDefault="00CB134D" w:rsidP="00CB134D">
      <w:pPr>
        <w:pStyle w:val="NoSpacing"/>
      </w:pPr>
    </w:p>
    <w:p w14:paraId="4A704E6A" w14:textId="0FAA0976" w:rsidR="00CB134D" w:rsidRDefault="00253A86" w:rsidP="00CB134D">
      <w:r w:rsidRPr="00E42258">
        <w:t>Not all applications will be successful.  The Students’ Union budget is limited and therefore has been divided up between the three terms to ensure th</w:t>
      </w:r>
      <w:r w:rsidR="00CB134D">
        <w:t>at</w:t>
      </w:r>
      <w:r w:rsidRPr="00E42258">
        <w:t xml:space="preserve"> funding is available throughout the year. </w:t>
      </w:r>
    </w:p>
    <w:p w14:paraId="3490B210" w14:textId="511FC25D" w:rsidR="00253A86" w:rsidRPr="00E42258" w:rsidRDefault="00253A86" w:rsidP="00CB134D">
      <w:r w:rsidRPr="00E42258">
        <w:t>Only the strongest applications will be approved, and this will be decided by a grant allocation panel, not one individual.</w:t>
      </w:r>
    </w:p>
    <w:p w14:paraId="2E0BDABE" w14:textId="77777777" w:rsidR="00253A86" w:rsidRPr="00253A86" w:rsidRDefault="00253A86" w:rsidP="00253A8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FC9E027" w14:textId="77777777" w:rsidR="00BD179A" w:rsidRDefault="00BD179A" w:rsidP="00253A86">
      <w:pPr>
        <w:spacing w:after="0"/>
        <w:jc w:val="both"/>
        <w:rPr>
          <w:rFonts w:cs="Arial"/>
          <w:sz w:val="24"/>
          <w:szCs w:val="24"/>
        </w:rPr>
      </w:pPr>
    </w:p>
    <w:p w14:paraId="17D37714" w14:textId="6FCF19D6" w:rsidR="00253A86" w:rsidRPr="00CB134D" w:rsidRDefault="00253A86" w:rsidP="00CB134D">
      <w:pPr>
        <w:spacing w:after="0"/>
        <w:rPr>
          <w:rFonts w:cs="Arial"/>
          <w:szCs w:val="24"/>
        </w:rPr>
      </w:pPr>
      <w:r w:rsidRPr="00CB134D">
        <w:rPr>
          <w:rFonts w:cs="Arial"/>
          <w:szCs w:val="24"/>
        </w:rPr>
        <w:t>If you have applied previously but failed to fulfil the</w:t>
      </w:r>
      <w:r w:rsidR="00CB134D">
        <w:rPr>
          <w:rFonts w:cs="Arial"/>
          <w:szCs w:val="24"/>
        </w:rPr>
        <w:t xml:space="preserve"> aims of a</w:t>
      </w:r>
      <w:r w:rsidRPr="00CB134D">
        <w:rPr>
          <w:rFonts w:cs="Arial"/>
          <w:szCs w:val="24"/>
        </w:rPr>
        <w:t xml:space="preserve"> project, </w:t>
      </w:r>
      <w:r w:rsidR="00CB134D">
        <w:rPr>
          <w:rFonts w:cs="Arial"/>
          <w:szCs w:val="24"/>
        </w:rPr>
        <w:t>this</w:t>
      </w:r>
      <w:r w:rsidRPr="00CB134D">
        <w:rPr>
          <w:rFonts w:cs="Arial"/>
          <w:szCs w:val="24"/>
        </w:rPr>
        <w:t xml:space="preserve"> could affect your application in the future. Please ensure that your Club and its committee </w:t>
      </w:r>
      <w:r w:rsidR="00CB134D">
        <w:rPr>
          <w:rFonts w:cs="Arial"/>
          <w:szCs w:val="24"/>
        </w:rPr>
        <w:t>can</w:t>
      </w:r>
      <w:r w:rsidRPr="00CB134D">
        <w:rPr>
          <w:rFonts w:cs="Arial"/>
          <w:szCs w:val="24"/>
        </w:rPr>
        <w:t xml:space="preserve"> commit to </w:t>
      </w:r>
      <w:r w:rsidR="00CB134D">
        <w:rPr>
          <w:rFonts w:cs="Arial"/>
          <w:szCs w:val="24"/>
        </w:rPr>
        <w:t>an</w:t>
      </w:r>
      <w:r w:rsidRPr="00CB134D">
        <w:rPr>
          <w:rFonts w:cs="Arial"/>
          <w:szCs w:val="24"/>
        </w:rPr>
        <w:t xml:space="preserve"> event before applying.</w:t>
      </w:r>
    </w:p>
    <w:p w14:paraId="6345EB82" w14:textId="77777777" w:rsidR="00253A86" w:rsidRPr="00253A86" w:rsidRDefault="00253A86" w:rsidP="00253A86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187"/>
        <w:gridCol w:w="7066"/>
      </w:tblGrid>
      <w:tr w:rsidR="00746108" w:rsidRPr="00253A86" w14:paraId="54E4D291" w14:textId="77777777" w:rsidTr="00F872AF">
        <w:trPr>
          <w:trHeight w:val="567"/>
        </w:trPr>
        <w:tc>
          <w:tcPr>
            <w:tcW w:w="1182" w:type="pct"/>
            <w:tcBorders>
              <w:right w:val="single" w:sz="8" w:space="0" w:color="FFFFFF" w:themeColor="background1"/>
            </w:tcBorders>
            <w:shd w:val="clear" w:color="auto" w:fill="892631"/>
            <w:vAlign w:val="center"/>
          </w:tcPr>
          <w:p w14:paraId="1C22BD4E" w14:textId="6E65E8DB" w:rsidR="00746108" w:rsidRPr="00746108" w:rsidRDefault="00746108" w:rsidP="00746108">
            <w:pPr>
              <w:pStyle w:val="NoSpacing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746108">
              <w:rPr>
                <w:rFonts w:ascii="Gill Sans MT" w:hAnsi="Gill Sans MT"/>
                <w:b/>
                <w:color w:val="FFFFFF" w:themeColor="background1"/>
              </w:rPr>
              <w:t>MONTH</w:t>
            </w:r>
          </w:p>
        </w:tc>
        <w:tc>
          <w:tcPr>
            <w:tcW w:w="3818" w:type="pct"/>
            <w:tcBorders>
              <w:left w:val="single" w:sz="8" w:space="0" w:color="FFFFFF" w:themeColor="background1"/>
            </w:tcBorders>
            <w:shd w:val="clear" w:color="auto" w:fill="892631"/>
            <w:vAlign w:val="center"/>
          </w:tcPr>
          <w:p w14:paraId="7BC52336" w14:textId="75A27A8A" w:rsidR="00746108" w:rsidRPr="00746108" w:rsidRDefault="00746108" w:rsidP="00746108">
            <w:pPr>
              <w:pStyle w:val="NoSpacing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 xml:space="preserve">TOTAL </w:t>
            </w:r>
            <w:r w:rsidRPr="00746108">
              <w:rPr>
                <w:rFonts w:ascii="Gill Sans MT" w:hAnsi="Gill Sans MT"/>
                <w:b/>
                <w:color w:val="FFFFFF" w:themeColor="background1"/>
              </w:rPr>
              <w:t>ENGAGEMENT GRANT AVAILABLE (ANY CLUB)</w:t>
            </w:r>
          </w:p>
        </w:tc>
      </w:tr>
      <w:tr w:rsidR="00253A86" w:rsidRPr="00253A86" w14:paraId="318D7530" w14:textId="77777777" w:rsidTr="00746108">
        <w:trPr>
          <w:trHeight w:val="295"/>
        </w:trPr>
        <w:tc>
          <w:tcPr>
            <w:tcW w:w="1182" w:type="pct"/>
          </w:tcPr>
          <w:p w14:paraId="7485FCAE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September</w:t>
            </w:r>
          </w:p>
        </w:tc>
        <w:tc>
          <w:tcPr>
            <w:tcW w:w="3818" w:type="pct"/>
            <w:shd w:val="clear" w:color="auto" w:fill="auto"/>
          </w:tcPr>
          <w:p w14:paraId="533BA09C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£500</w:t>
            </w:r>
          </w:p>
        </w:tc>
      </w:tr>
      <w:tr w:rsidR="00253A86" w:rsidRPr="00253A86" w14:paraId="10BEE059" w14:textId="77777777" w:rsidTr="00746108">
        <w:trPr>
          <w:trHeight w:val="295"/>
        </w:trPr>
        <w:tc>
          <w:tcPr>
            <w:tcW w:w="1182" w:type="pct"/>
          </w:tcPr>
          <w:p w14:paraId="1AD57739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October</w:t>
            </w:r>
          </w:p>
        </w:tc>
        <w:tc>
          <w:tcPr>
            <w:tcW w:w="3818" w:type="pct"/>
            <w:shd w:val="clear" w:color="auto" w:fill="auto"/>
          </w:tcPr>
          <w:p w14:paraId="0A4B95CF" w14:textId="133D0F10" w:rsidR="00253A86" w:rsidRPr="00746108" w:rsidRDefault="00253A86" w:rsidP="00746108">
            <w:pPr>
              <w:pStyle w:val="NoSpacing"/>
              <w:jc w:val="center"/>
            </w:pPr>
            <w:r w:rsidRPr="00746108">
              <w:t>£1</w:t>
            </w:r>
            <w:r w:rsidR="00746108">
              <w:t>,</w:t>
            </w:r>
            <w:r w:rsidRPr="00746108">
              <w:t>000</w:t>
            </w:r>
          </w:p>
        </w:tc>
      </w:tr>
      <w:tr w:rsidR="00253A86" w:rsidRPr="00253A86" w14:paraId="6F158606" w14:textId="77777777" w:rsidTr="00746108">
        <w:trPr>
          <w:trHeight w:val="295"/>
        </w:trPr>
        <w:tc>
          <w:tcPr>
            <w:tcW w:w="1182" w:type="pct"/>
          </w:tcPr>
          <w:p w14:paraId="05B16803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November</w:t>
            </w:r>
          </w:p>
        </w:tc>
        <w:tc>
          <w:tcPr>
            <w:tcW w:w="3818" w:type="pct"/>
            <w:shd w:val="clear" w:color="auto" w:fill="auto"/>
          </w:tcPr>
          <w:p w14:paraId="01EFFEFB" w14:textId="287790F0" w:rsidR="00253A86" w:rsidRPr="00746108" w:rsidRDefault="00253A86" w:rsidP="00746108">
            <w:pPr>
              <w:pStyle w:val="NoSpacing"/>
              <w:jc w:val="center"/>
            </w:pPr>
            <w:r w:rsidRPr="00746108">
              <w:t>£1</w:t>
            </w:r>
            <w:r w:rsidR="00746108">
              <w:t>,</w:t>
            </w:r>
            <w:r w:rsidRPr="00746108">
              <w:t>000</w:t>
            </w:r>
          </w:p>
        </w:tc>
      </w:tr>
      <w:tr w:rsidR="00253A86" w:rsidRPr="00253A86" w14:paraId="1FE0000F" w14:textId="77777777" w:rsidTr="00746108">
        <w:trPr>
          <w:trHeight w:val="295"/>
        </w:trPr>
        <w:tc>
          <w:tcPr>
            <w:tcW w:w="1182" w:type="pct"/>
          </w:tcPr>
          <w:p w14:paraId="27C37FC8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December</w:t>
            </w:r>
          </w:p>
        </w:tc>
        <w:tc>
          <w:tcPr>
            <w:tcW w:w="3818" w:type="pct"/>
          </w:tcPr>
          <w:p w14:paraId="1209DFEB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£250</w:t>
            </w:r>
          </w:p>
        </w:tc>
      </w:tr>
      <w:tr w:rsidR="00253A86" w:rsidRPr="00253A86" w14:paraId="3EA98A1C" w14:textId="77777777" w:rsidTr="00746108">
        <w:trPr>
          <w:trHeight w:val="295"/>
        </w:trPr>
        <w:tc>
          <w:tcPr>
            <w:tcW w:w="1182" w:type="pct"/>
          </w:tcPr>
          <w:p w14:paraId="6F6EF013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January</w:t>
            </w:r>
          </w:p>
        </w:tc>
        <w:tc>
          <w:tcPr>
            <w:tcW w:w="3818" w:type="pct"/>
          </w:tcPr>
          <w:p w14:paraId="0DFD04B0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£0</w:t>
            </w:r>
          </w:p>
        </w:tc>
      </w:tr>
      <w:tr w:rsidR="00253A86" w:rsidRPr="00253A86" w14:paraId="0C60F7F9" w14:textId="77777777" w:rsidTr="00746108">
        <w:trPr>
          <w:trHeight w:val="295"/>
        </w:trPr>
        <w:tc>
          <w:tcPr>
            <w:tcW w:w="1182" w:type="pct"/>
          </w:tcPr>
          <w:p w14:paraId="09243A87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February</w:t>
            </w:r>
          </w:p>
        </w:tc>
        <w:tc>
          <w:tcPr>
            <w:tcW w:w="3818" w:type="pct"/>
          </w:tcPr>
          <w:p w14:paraId="4DE6052A" w14:textId="0DFFFC8A" w:rsidR="00253A86" w:rsidRPr="00746108" w:rsidRDefault="00253A86" w:rsidP="00746108">
            <w:pPr>
              <w:pStyle w:val="NoSpacing"/>
              <w:jc w:val="center"/>
            </w:pPr>
            <w:r w:rsidRPr="00746108">
              <w:t>£1</w:t>
            </w:r>
            <w:r w:rsidR="00746108">
              <w:t>,</w:t>
            </w:r>
            <w:r w:rsidRPr="00746108">
              <w:t>000</w:t>
            </w:r>
          </w:p>
        </w:tc>
      </w:tr>
      <w:tr w:rsidR="00253A86" w:rsidRPr="00253A86" w14:paraId="2964674F" w14:textId="77777777" w:rsidTr="00746108">
        <w:trPr>
          <w:trHeight w:val="295"/>
        </w:trPr>
        <w:tc>
          <w:tcPr>
            <w:tcW w:w="1182" w:type="pct"/>
          </w:tcPr>
          <w:p w14:paraId="7F15CB84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March</w:t>
            </w:r>
          </w:p>
        </w:tc>
        <w:tc>
          <w:tcPr>
            <w:tcW w:w="3818" w:type="pct"/>
          </w:tcPr>
          <w:p w14:paraId="022D92C6" w14:textId="3087FA33" w:rsidR="00253A86" w:rsidRPr="00746108" w:rsidRDefault="00253A86" w:rsidP="00746108">
            <w:pPr>
              <w:pStyle w:val="NoSpacing"/>
              <w:jc w:val="center"/>
            </w:pPr>
            <w:r w:rsidRPr="00746108">
              <w:t>£1</w:t>
            </w:r>
            <w:r w:rsidR="00746108">
              <w:t>,</w:t>
            </w:r>
            <w:r w:rsidRPr="00746108">
              <w:t>000</w:t>
            </w:r>
          </w:p>
        </w:tc>
      </w:tr>
      <w:tr w:rsidR="00253A86" w:rsidRPr="00253A86" w14:paraId="7F4E3D3F" w14:textId="77777777" w:rsidTr="00746108">
        <w:trPr>
          <w:trHeight w:val="295"/>
        </w:trPr>
        <w:tc>
          <w:tcPr>
            <w:tcW w:w="1182" w:type="pct"/>
          </w:tcPr>
          <w:p w14:paraId="0BDC1014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April</w:t>
            </w:r>
          </w:p>
        </w:tc>
        <w:tc>
          <w:tcPr>
            <w:tcW w:w="3818" w:type="pct"/>
          </w:tcPr>
          <w:p w14:paraId="14619999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£0</w:t>
            </w:r>
          </w:p>
        </w:tc>
      </w:tr>
      <w:tr w:rsidR="00253A86" w:rsidRPr="00253A86" w14:paraId="6BF0D52C" w14:textId="77777777" w:rsidTr="00746108">
        <w:trPr>
          <w:trHeight w:val="295"/>
        </w:trPr>
        <w:tc>
          <w:tcPr>
            <w:tcW w:w="1182" w:type="pct"/>
          </w:tcPr>
          <w:p w14:paraId="7790A2B4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May</w:t>
            </w:r>
          </w:p>
        </w:tc>
        <w:tc>
          <w:tcPr>
            <w:tcW w:w="3818" w:type="pct"/>
          </w:tcPr>
          <w:p w14:paraId="02BEC74F" w14:textId="77777777" w:rsidR="00253A86" w:rsidRPr="00746108" w:rsidRDefault="00253A86" w:rsidP="00746108">
            <w:pPr>
              <w:pStyle w:val="NoSpacing"/>
              <w:jc w:val="center"/>
            </w:pPr>
            <w:r w:rsidRPr="00746108">
              <w:t>£250</w:t>
            </w:r>
          </w:p>
        </w:tc>
      </w:tr>
    </w:tbl>
    <w:p w14:paraId="112EF106" w14:textId="29CF47A6" w:rsidR="007D2E3B" w:rsidRDefault="007D2E3B"/>
    <w:p w14:paraId="0FFC7783" w14:textId="638185A6" w:rsidR="00746108" w:rsidRDefault="00746108"/>
    <w:p w14:paraId="7AF11FD2" w14:textId="0F5EB86C" w:rsidR="00746108" w:rsidRDefault="00746108"/>
    <w:p w14:paraId="3FD5C7E6" w14:textId="77777777" w:rsidR="00746108" w:rsidRDefault="00746108"/>
    <w:sectPr w:rsidR="00746108" w:rsidSect="009E79DD">
      <w:headerReference w:type="default" r:id="rId9"/>
      <w:pgSz w:w="11906" w:h="16838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CB83" w14:textId="77777777" w:rsidR="00B13985" w:rsidRDefault="00B13985" w:rsidP="00253A86">
      <w:pPr>
        <w:spacing w:after="0" w:line="240" w:lineRule="auto"/>
      </w:pPr>
      <w:r>
        <w:separator/>
      </w:r>
    </w:p>
  </w:endnote>
  <w:endnote w:type="continuationSeparator" w:id="0">
    <w:p w14:paraId="4567037F" w14:textId="77777777" w:rsidR="00B13985" w:rsidRDefault="00B13985" w:rsidP="0025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0804" w14:textId="77777777" w:rsidR="00B13985" w:rsidRDefault="00B13985" w:rsidP="00253A86">
      <w:pPr>
        <w:spacing w:after="0" w:line="240" w:lineRule="auto"/>
      </w:pPr>
      <w:r>
        <w:separator/>
      </w:r>
    </w:p>
  </w:footnote>
  <w:footnote w:type="continuationSeparator" w:id="0">
    <w:p w14:paraId="64947965" w14:textId="77777777" w:rsidR="00B13985" w:rsidRDefault="00B13985" w:rsidP="0025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383B" w14:textId="05BE98C6" w:rsidR="00253A86" w:rsidRDefault="00B608F0" w:rsidP="00B608F0">
    <w:pPr>
      <w:pStyle w:val="Header"/>
      <w:tabs>
        <w:tab w:val="clear" w:pos="9026"/>
      </w:tabs>
      <w:ind w:right="-472"/>
      <w:jc w:val="right"/>
    </w:pPr>
    <w:r>
      <w:rPr>
        <w:noProof/>
      </w:rPr>
      <w:drawing>
        <wp:inline distT="0" distB="0" distL="0" distR="0" wp14:anchorId="7BF79D19" wp14:editId="6A53AF90">
          <wp:extent cx="10191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 logos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223" cy="101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BCFFE" w14:textId="77777777" w:rsidR="009E79DD" w:rsidRDefault="009E79DD" w:rsidP="009E79DD">
    <w:pPr>
      <w:pStyle w:val="Header"/>
      <w:tabs>
        <w:tab w:val="clear" w:pos="9026"/>
      </w:tabs>
      <w:ind w:right="-8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F17"/>
    <w:multiLevelType w:val="hybridMultilevel"/>
    <w:tmpl w:val="A8067C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03"/>
    <w:multiLevelType w:val="hybridMultilevel"/>
    <w:tmpl w:val="57AE1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8B07C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2" w:tplc="0CDC98F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445F7"/>
    <w:multiLevelType w:val="hybridMultilevel"/>
    <w:tmpl w:val="9904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46873"/>
    <w:multiLevelType w:val="hybridMultilevel"/>
    <w:tmpl w:val="8AF68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8B8"/>
    <w:multiLevelType w:val="hybridMultilevel"/>
    <w:tmpl w:val="702E2C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6E43"/>
    <w:multiLevelType w:val="hybridMultilevel"/>
    <w:tmpl w:val="85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3BB4"/>
    <w:multiLevelType w:val="hybridMultilevel"/>
    <w:tmpl w:val="FE1AB8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330F26"/>
    <w:multiLevelType w:val="hybridMultilevel"/>
    <w:tmpl w:val="AD8E9B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E249E"/>
    <w:multiLevelType w:val="hybridMultilevel"/>
    <w:tmpl w:val="FCE8D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87E59"/>
    <w:multiLevelType w:val="hybridMultilevel"/>
    <w:tmpl w:val="F746E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10C03"/>
    <w:multiLevelType w:val="hybridMultilevel"/>
    <w:tmpl w:val="0304EF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A86"/>
    <w:rsid w:val="000864DE"/>
    <w:rsid w:val="001B4860"/>
    <w:rsid w:val="00253A86"/>
    <w:rsid w:val="003C6375"/>
    <w:rsid w:val="004708E5"/>
    <w:rsid w:val="00471B3D"/>
    <w:rsid w:val="00746108"/>
    <w:rsid w:val="007D2E3B"/>
    <w:rsid w:val="00812A10"/>
    <w:rsid w:val="009E79DD"/>
    <w:rsid w:val="00B13985"/>
    <w:rsid w:val="00B608F0"/>
    <w:rsid w:val="00BD179A"/>
    <w:rsid w:val="00CB134D"/>
    <w:rsid w:val="00E32A91"/>
    <w:rsid w:val="00E42258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A7EED"/>
  <w15:docId w15:val="{C941295E-EADC-4290-AF13-1D9834E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A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86"/>
  </w:style>
  <w:style w:type="paragraph" w:styleId="Footer">
    <w:name w:val="footer"/>
    <w:basedOn w:val="Normal"/>
    <w:link w:val="FooterChar"/>
    <w:uiPriority w:val="99"/>
    <w:unhideWhenUsed/>
    <w:rsid w:val="0025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86"/>
  </w:style>
  <w:style w:type="character" w:styleId="UnresolvedMention">
    <w:name w:val="Unresolved Mention"/>
    <w:basedOn w:val="DefaultParagraphFont"/>
    <w:uiPriority w:val="99"/>
    <w:semiHidden/>
    <w:unhideWhenUsed/>
    <w:rsid w:val="00E422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sport@northamp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.sport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Green</dc:creator>
  <cp:keywords/>
  <dc:description/>
  <cp:lastModifiedBy>Adrian Houghton</cp:lastModifiedBy>
  <cp:revision>8</cp:revision>
  <dcterms:created xsi:type="dcterms:W3CDTF">2016-09-07T08:18:00Z</dcterms:created>
  <dcterms:modified xsi:type="dcterms:W3CDTF">2019-01-02T15:10:00Z</dcterms:modified>
</cp:coreProperties>
</file>