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5007B" w14:textId="17E877EF" w:rsidR="009E0C2F" w:rsidRDefault="008C56DE" w:rsidP="0079140E">
      <w:pPr>
        <w:pStyle w:val="NoSpacing"/>
        <w:jc w:val="right"/>
        <w:rPr>
          <w:rFonts w:ascii="Verdana" w:hAnsi="Verdana"/>
        </w:rPr>
      </w:pPr>
      <w:bookmarkStart w:id="0" w:name="_GoBack"/>
      <w:bookmarkEnd w:id="0"/>
      <w:r>
        <w:rPr>
          <w:rFonts w:ascii="Open Sans" w:hAnsi="Open Sans" w:cs="Open Sans"/>
          <w:noProof/>
          <w:sz w:val="18"/>
          <w:szCs w:val="18"/>
          <w:lang w:eastAsia="en-GB"/>
        </w:rPr>
        <w:drawing>
          <wp:inline distT="0" distB="0" distL="0" distR="0" wp14:anchorId="4C4DD2C8" wp14:editId="609C1D05">
            <wp:extent cx="1143000" cy="590550"/>
            <wp:effectExtent l="0" t="0" r="0" b="0"/>
            <wp:docPr id="1" name="Picture 1" descr="cid:image001.png@01D33384.127DA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3384.127DA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590550"/>
                    </a:xfrm>
                    <a:prstGeom prst="rect">
                      <a:avLst/>
                    </a:prstGeom>
                    <a:noFill/>
                    <a:ln>
                      <a:noFill/>
                    </a:ln>
                  </pic:spPr>
                </pic:pic>
              </a:graphicData>
            </a:graphic>
          </wp:inline>
        </w:drawing>
      </w:r>
    </w:p>
    <w:p w14:paraId="404026BB" w14:textId="77777777" w:rsidR="0079140E" w:rsidRDefault="0079140E" w:rsidP="0079140E">
      <w:pPr>
        <w:pStyle w:val="NoSpacing"/>
        <w:jc w:val="right"/>
        <w:rPr>
          <w:rFonts w:ascii="Verdana" w:hAnsi="Verdana"/>
        </w:rPr>
      </w:pPr>
    </w:p>
    <w:p w14:paraId="781AA8AD" w14:textId="77777777" w:rsidR="001019E1" w:rsidRPr="007E1C18" w:rsidRDefault="00C33E12" w:rsidP="008C56DE">
      <w:pPr>
        <w:pStyle w:val="NoSpacing"/>
        <w:rPr>
          <w:rFonts w:ascii="Verdana" w:hAnsi="Verdana"/>
          <w:b/>
          <w:sz w:val="28"/>
          <w:szCs w:val="28"/>
        </w:rPr>
      </w:pPr>
      <w:r>
        <w:rPr>
          <w:rFonts w:ascii="Verdana" w:hAnsi="Verdana"/>
          <w:b/>
          <w:sz w:val="28"/>
          <w:szCs w:val="28"/>
        </w:rPr>
        <w:t xml:space="preserve">Termination Appeal </w:t>
      </w:r>
      <w:r w:rsidR="00F20E1E">
        <w:rPr>
          <w:rFonts w:ascii="Verdana" w:hAnsi="Verdana"/>
          <w:b/>
          <w:sz w:val="28"/>
          <w:szCs w:val="28"/>
        </w:rPr>
        <w:t>Policy</w:t>
      </w:r>
    </w:p>
    <w:p w14:paraId="31C5DF66" w14:textId="77777777" w:rsidR="001019E1" w:rsidRDefault="001019E1" w:rsidP="008C56DE">
      <w:pPr>
        <w:pStyle w:val="NoSpacing"/>
        <w:rPr>
          <w:rFonts w:ascii="Verdana" w:hAnsi="Verdana"/>
        </w:rPr>
      </w:pPr>
    </w:p>
    <w:p w14:paraId="0F180AEC" w14:textId="77777777" w:rsidR="001019E1" w:rsidRDefault="001019E1" w:rsidP="008C56DE">
      <w:pPr>
        <w:pStyle w:val="NoSpacing"/>
        <w:rPr>
          <w:rFonts w:ascii="Verdana" w:hAnsi="Verdana"/>
          <w:b/>
        </w:rPr>
      </w:pPr>
      <w:r>
        <w:rPr>
          <w:rFonts w:ascii="Verdana" w:hAnsi="Verdana"/>
          <w:b/>
        </w:rPr>
        <w:t>1.0</w:t>
      </w:r>
      <w:r>
        <w:rPr>
          <w:rFonts w:ascii="Verdana" w:hAnsi="Verdana"/>
          <w:b/>
        </w:rPr>
        <w:tab/>
        <w:t>Introduction and background</w:t>
      </w:r>
    </w:p>
    <w:p w14:paraId="2867C26C" w14:textId="77777777" w:rsidR="001019E1" w:rsidRDefault="001019E1" w:rsidP="008C56DE">
      <w:pPr>
        <w:pStyle w:val="NoSpacing"/>
        <w:rPr>
          <w:rFonts w:ascii="Verdana" w:hAnsi="Verdana"/>
          <w:b/>
        </w:rPr>
      </w:pPr>
    </w:p>
    <w:p w14:paraId="2F9A760A" w14:textId="77777777" w:rsidR="001019E1" w:rsidRPr="008C56DE" w:rsidRDefault="006E378D" w:rsidP="008C56DE">
      <w:pPr>
        <w:pStyle w:val="NoSpacing"/>
        <w:ind w:left="720" w:hanging="720"/>
        <w:rPr>
          <w:rFonts w:ascii="Verdana" w:hAnsi="Verdana"/>
        </w:rPr>
      </w:pPr>
      <w:r w:rsidRPr="008C56DE">
        <w:rPr>
          <w:rFonts w:ascii="Verdana" w:hAnsi="Verdana"/>
        </w:rPr>
        <w:t>1.1</w:t>
      </w:r>
      <w:r w:rsidRPr="008C56DE">
        <w:rPr>
          <w:rFonts w:ascii="Verdana" w:hAnsi="Verdana"/>
        </w:rPr>
        <w:tab/>
      </w:r>
      <w:r w:rsidR="009B63A8" w:rsidRPr="008C56DE">
        <w:rPr>
          <w:rFonts w:ascii="Verdana" w:hAnsi="Verdana"/>
        </w:rPr>
        <w:t xml:space="preserve">The University offers students an opportunity to </w:t>
      </w:r>
      <w:r w:rsidR="00F23A87" w:rsidRPr="008C56DE">
        <w:rPr>
          <w:rFonts w:ascii="Verdana" w:hAnsi="Verdana"/>
        </w:rPr>
        <w:t>request a review of</w:t>
      </w:r>
      <w:r w:rsidR="009B63A8" w:rsidRPr="008C56DE">
        <w:rPr>
          <w:rFonts w:ascii="Verdana" w:hAnsi="Verdana"/>
        </w:rPr>
        <w:t xml:space="preserve"> a termination deci</w:t>
      </w:r>
      <w:r w:rsidR="00C33E12" w:rsidRPr="008C56DE">
        <w:rPr>
          <w:rFonts w:ascii="Verdana" w:hAnsi="Verdana"/>
        </w:rPr>
        <w:t>sion</w:t>
      </w:r>
      <w:r w:rsidR="0051042B" w:rsidRPr="008C56DE">
        <w:rPr>
          <w:rFonts w:ascii="Verdana" w:hAnsi="Verdana"/>
        </w:rPr>
        <w:t xml:space="preserve"> </w:t>
      </w:r>
      <w:r w:rsidR="00C33E12" w:rsidRPr="008C56DE">
        <w:rPr>
          <w:rFonts w:ascii="Verdana" w:hAnsi="Verdana"/>
        </w:rPr>
        <w:t xml:space="preserve">by presenting a </w:t>
      </w:r>
      <w:r w:rsidR="00CB7C78" w:rsidRPr="008C56DE">
        <w:rPr>
          <w:rFonts w:ascii="Verdana" w:hAnsi="Verdana"/>
        </w:rPr>
        <w:t xml:space="preserve">written </w:t>
      </w:r>
      <w:r w:rsidR="00C33E12" w:rsidRPr="008C56DE">
        <w:rPr>
          <w:rFonts w:ascii="Verdana" w:hAnsi="Verdana"/>
        </w:rPr>
        <w:t xml:space="preserve">case to a </w:t>
      </w:r>
      <w:r w:rsidR="00CB7C78" w:rsidRPr="008C56DE">
        <w:rPr>
          <w:rFonts w:ascii="Verdana" w:hAnsi="Verdana"/>
        </w:rPr>
        <w:t>panel</w:t>
      </w:r>
      <w:r w:rsidR="009B63A8" w:rsidRPr="008C56DE">
        <w:rPr>
          <w:rFonts w:ascii="Verdana" w:hAnsi="Verdana"/>
        </w:rPr>
        <w:t>.  The criteria which can be addre</w:t>
      </w:r>
      <w:r w:rsidR="00CB7C78" w:rsidRPr="008C56DE">
        <w:rPr>
          <w:rFonts w:ascii="Verdana" w:hAnsi="Verdana"/>
        </w:rPr>
        <w:t>ssed by this policy are limited (See Appendix I).</w:t>
      </w:r>
    </w:p>
    <w:p w14:paraId="53AF1813" w14:textId="77777777" w:rsidR="001019E1" w:rsidRDefault="001019E1" w:rsidP="008C56DE">
      <w:pPr>
        <w:pStyle w:val="NoSpacing"/>
        <w:rPr>
          <w:rFonts w:ascii="Verdana" w:hAnsi="Verdana"/>
          <w:b/>
        </w:rPr>
      </w:pPr>
    </w:p>
    <w:p w14:paraId="7F3B84D0" w14:textId="77777777" w:rsidR="001019E1" w:rsidRDefault="001019E1" w:rsidP="008C56DE">
      <w:pPr>
        <w:pStyle w:val="NoSpacing"/>
        <w:rPr>
          <w:rFonts w:ascii="Verdana" w:hAnsi="Verdana"/>
          <w:b/>
        </w:rPr>
      </w:pPr>
      <w:r>
        <w:rPr>
          <w:rFonts w:ascii="Verdana" w:hAnsi="Verdana"/>
          <w:b/>
        </w:rPr>
        <w:t>2.0</w:t>
      </w:r>
      <w:r>
        <w:rPr>
          <w:rFonts w:ascii="Verdana" w:hAnsi="Verdana"/>
          <w:b/>
        </w:rPr>
        <w:tab/>
        <w:t>Purpose and scope</w:t>
      </w:r>
    </w:p>
    <w:p w14:paraId="29631FB1" w14:textId="77777777" w:rsidR="001019E1" w:rsidRDefault="001019E1" w:rsidP="008C56DE">
      <w:pPr>
        <w:pStyle w:val="NoSpacing"/>
        <w:rPr>
          <w:rFonts w:ascii="Verdana" w:hAnsi="Verdana"/>
          <w:b/>
        </w:rPr>
      </w:pPr>
    </w:p>
    <w:p w14:paraId="5AC39427" w14:textId="7A2CBAE9" w:rsidR="001019E1" w:rsidRDefault="002478B9" w:rsidP="008C56DE">
      <w:pPr>
        <w:pStyle w:val="NoSpacing"/>
        <w:ind w:left="720" w:hanging="720"/>
        <w:rPr>
          <w:rFonts w:ascii="Verdana" w:hAnsi="Verdana"/>
        </w:rPr>
      </w:pPr>
      <w:r w:rsidRPr="008C56DE">
        <w:rPr>
          <w:rFonts w:ascii="Verdana" w:hAnsi="Verdana"/>
        </w:rPr>
        <w:t>2.1</w:t>
      </w:r>
      <w:r w:rsidRPr="008C56DE">
        <w:rPr>
          <w:rFonts w:ascii="Verdana" w:hAnsi="Verdana"/>
        </w:rPr>
        <w:tab/>
      </w:r>
      <w:r w:rsidR="001019E1" w:rsidRPr="008C56DE">
        <w:rPr>
          <w:rFonts w:ascii="Verdana" w:hAnsi="Verdana"/>
        </w:rPr>
        <w:t xml:space="preserve">The </w:t>
      </w:r>
      <w:r w:rsidR="009B63A8" w:rsidRPr="008C56DE">
        <w:rPr>
          <w:rFonts w:ascii="Verdana" w:hAnsi="Verdana"/>
        </w:rPr>
        <w:t>Termination Appeal</w:t>
      </w:r>
      <w:r w:rsidR="001019E1" w:rsidRPr="008C56DE">
        <w:rPr>
          <w:rFonts w:ascii="Verdana" w:hAnsi="Verdana"/>
        </w:rPr>
        <w:t xml:space="preserve"> Policy is ultimately the responsibility of Senate, devolved to the Director of Student &amp; Academic Services (DSAS).</w:t>
      </w:r>
    </w:p>
    <w:p w14:paraId="210B8517" w14:textId="77777777" w:rsidR="008C56DE" w:rsidRPr="008C56DE" w:rsidRDefault="008C56DE" w:rsidP="008C56DE">
      <w:pPr>
        <w:pStyle w:val="NoSpacing"/>
        <w:ind w:left="720" w:hanging="720"/>
        <w:rPr>
          <w:rFonts w:ascii="Verdana" w:hAnsi="Verdana"/>
        </w:rPr>
      </w:pPr>
    </w:p>
    <w:p w14:paraId="1C17879E" w14:textId="51FD945A" w:rsidR="00C33E12" w:rsidRDefault="001019E1" w:rsidP="008C56DE">
      <w:pPr>
        <w:pStyle w:val="NoSpacing"/>
        <w:ind w:left="720" w:hanging="720"/>
        <w:rPr>
          <w:rFonts w:ascii="Verdana" w:hAnsi="Verdana"/>
        </w:rPr>
      </w:pPr>
      <w:r w:rsidRPr="008C56DE">
        <w:rPr>
          <w:rFonts w:ascii="Verdana" w:hAnsi="Verdana"/>
        </w:rPr>
        <w:t>2.2</w:t>
      </w:r>
      <w:r w:rsidRPr="008C56DE">
        <w:rPr>
          <w:rFonts w:ascii="Verdana" w:hAnsi="Verdana"/>
        </w:rPr>
        <w:tab/>
        <w:t xml:space="preserve">This </w:t>
      </w:r>
      <w:r w:rsidR="009B63A8" w:rsidRPr="008C56DE">
        <w:rPr>
          <w:rFonts w:ascii="Verdana" w:hAnsi="Verdana"/>
        </w:rPr>
        <w:t>Termination Appeal</w:t>
      </w:r>
      <w:r w:rsidRPr="008C56DE">
        <w:rPr>
          <w:rFonts w:ascii="Verdana" w:hAnsi="Verdana"/>
        </w:rPr>
        <w:t xml:space="preserve"> Policy covers students enrolled on all University of Northampton </w:t>
      </w:r>
      <w:r w:rsidR="00C33E12" w:rsidRPr="008C56DE">
        <w:rPr>
          <w:rFonts w:ascii="Verdana" w:hAnsi="Verdana"/>
        </w:rPr>
        <w:t>programmes</w:t>
      </w:r>
      <w:r w:rsidR="009B63A8" w:rsidRPr="008C56DE">
        <w:rPr>
          <w:rFonts w:ascii="Verdana" w:hAnsi="Verdana"/>
        </w:rPr>
        <w:t xml:space="preserve">, </w:t>
      </w:r>
      <w:proofErr w:type="gramStart"/>
      <w:r w:rsidR="00C33E12" w:rsidRPr="008C56DE">
        <w:rPr>
          <w:rFonts w:ascii="Verdana" w:hAnsi="Verdana"/>
        </w:rPr>
        <w:t>with the</w:t>
      </w:r>
      <w:r w:rsidR="009B63A8" w:rsidRPr="008C56DE">
        <w:rPr>
          <w:rFonts w:ascii="Verdana" w:hAnsi="Verdana"/>
        </w:rPr>
        <w:t xml:space="preserve"> </w:t>
      </w:r>
      <w:r w:rsidR="00C33E12" w:rsidRPr="008C56DE">
        <w:rPr>
          <w:rFonts w:ascii="Verdana" w:hAnsi="Verdana"/>
        </w:rPr>
        <w:t>exception of</w:t>
      </w:r>
      <w:proofErr w:type="gramEnd"/>
      <w:r w:rsidR="00C33E12" w:rsidRPr="008C56DE">
        <w:rPr>
          <w:rFonts w:ascii="Verdana" w:hAnsi="Verdana"/>
        </w:rPr>
        <w:t xml:space="preserve"> </w:t>
      </w:r>
      <w:r w:rsidR="009B63A8" w:rsidRPr="008C56DE">
        <w:rPr>
          <w:rFonts w:ascii="Verdana" w:hAnsi="Verdana"/>
        </w:rPr>
        <w:t xml:space="preserve">those studying </w:t>
      </w:r>
      <w:r w:rsidR="00C33E12" w:rsidRPr="008C56DE">
        <w:rPr>
          <w:rFonts w:ascii="Verdana" w:hAnsi="Verdana"/>
        </w:rPr>
        <w:t>at</w:t>
      </w:r>
      <w:r w:rsidR="009B63A8" w:rsidRPr="008C56DE">
        <w:rPr>
          <w:rFonts w:ascii="Verdana" w:hAnsi="Verdana"/>
        </w:rPr>
        <w:t xml:space="preserve"> </w:t>
      </w:r>
      <w:r w:rsidR="00C33E12" w:rsidRPr="008C56DE">
        <w:rPr>
          <w:rFonts w:ascii="Verdana" w:hAnsi="Verdana"/>
        </w:rPr>
        <w:t>Level 8.</w:t>
      </w:r>
    </w:p>
    <w:p w14:paraId="0831281A" w14:textId="77777777" w:rsidR="008C56DE" w:rsidRPr="008C56DE" w:rsidRDefault="008C56DE" w:rsidP="008C56DE">
      <w:pPr>
        <w:pStyle w:val="NoSpacing"/>
        <w:ind w:left="720" w:hanging="720"/>
        <w:rPr>
          <w:rFonts w:ascii="Verdana" w:hAnsi="Verdana"/>
        </w:rPr>
      </w:pPr>
    </w:p>
    <w:p w14:paraId="4DBA7E02" w14:textId="77777777" w:rsidR="00C33E12" w:rsidRPr="008C56DE" w:rsidRDefault="00C33E12" w:rsidP="008C56DE">
      <w:pPr>
        <w:pStyle w:val="NoSpacing"/>
        <w:ind w:left="720" w:hanging="720"/>
        <w:rPr>
          <w:rFonts w:ascii="Verdana" w:hAnsi="Verdana"/>
        </w:rPr>
      </w:pPr>
      <w:r w:rsidRPr="008C56DE">
        <w:rPr>
          <w:rFonts w:ascii="Verdana" w:hAnsi="Verdana"/>
        </w:rPr>
        <w:t>2.3</w:t>
      </w:r>
      <w:r w:rsidRPr="008C56DE">
        <w:rPr>
          <w:rFonts w:ascii="Verdana" w:hAnsi="Verdana"/>
        </w:rPr>
        <w:tab/>
        <w:t xml:space="preserve">Decisions on progression, completion and academic failure of students studying on courses involving </w:t>
      </w:r>
      <w:r w:rsidR="00F23A87" w:rsidRPr="008C56DE">
        <w:rPr>
          <w:rFonts w:ascii="Verdana" w:hAnsi="Verdana"/>
        </w:rPr>
        <w:t>partners</w:t>
      </w:r>
      <w:r w:rsidRPr="008C56DE">
        <w:rPr>
          <w:rFonts w:ascii="Verdana" w:hAnsi="Verdana"/>
        </w:rPr>
        <w:t xml:space="preserve"> are overseen by the University’s Assessment Boards and therefore termination appeals will be dealt with under this Policy.</w:t>
      </w:r>
    </w:p>
    <w:p w14:paraId="0680E2C1" w14:textId="77777777" w:rsidR="001019E1" w:rsidRDefault="001019E1" w:rsidP="008C56DE">
      <w:pPr>
        <w:pStyle w:val="NoSpacing"/>
        <w:rPr>
          <w:rFonts w:ascii="Verdana" w:hAnsi="Verdana"/>
        </w:rPr>
      </w:pPr>
    </w:p>
    <w:p w14:paraId="1987B94B" w14:textId="77777777" w:rsidR="001019E1" w:rsidRDefault="001019E1" w:rsidP="008C56DE">
      <w:pPr>
        <w:pStyle w:val="NoSpacing"/>
        <w:rPr>
          <w:rFonts w:ascii="Verdana" w:hAnsi="Verdana"/>
          <w:b/>
        </w:rPr>
      </w:pPr>
      <w:r>
        <w:rPr>
          <w:rFonts w:ascii="Verdana" w:hAnsi="Verdana"/>
          <w:b/>
        </w:rPr>
        <w:t>3.0</w:t>
      </w:r>
      <w:r>
        <w:rPr>
          <w:rFonts w:ascii="Verdana" w:hAnsi="Verdana"/>
          <w:b/>
        </w:rPr>
        <w:tab/>
        <w:t>Definitions</w:t>
      </w:r>
    </w:p>
    <w:p w14:paraId="06DC280C" w14:textId="77777777" w:rsidR="001019E1" w:rsidRDefault="001019E1" w:rsidP="008C56DE">
      <w:pPr>
        <w:pStyle w:val="NoSpacing"/>
        <w:rPr>
          <w:rFonts w:ascii="Verdana" w:hAnsi="Verdana"/>
          <w:b/>
        </w:rPr>
      </w:pPr>
    </w:p>
    <w:p w14:paraId="46F917DF" w14:textId="60DC1408" w:rsidR="001019E1" w:rsidRDefault="001019E1" w:rsidP="008C56DE">
      <w:pPr>
        <w:pStyle w:val="NoSpacing"/>
        <w:ind w:left="720" w:hanging="720"/>
        <w:rPr>
          <w:rFonts w:ascii="Verdana" w:hAnsi="Verdana"/>
        </w:rPr>
      </w:pPr>
      <w:r>
        <w:rPr>
          <w:rFonts w:ascii="Verdana" w:hAnsi="Verdana"/>
        </w:rPr>
        <w:t>3.1</w:t>
      </w:r>
      <w:r w:rsidRPr="008C56DE">
        <w:rPr>
          <w:rFonts w:ascii="Verdana" w:hAnsi="Verdana"/>
        </w:rPr>
        <w:t xml:space="preserve"> </w:t>
      </w:r>
      <w:r w:rsidR="006E378D" w:rsidRPr="008C56DE">
        <w:rPr>
          <w:rFonts w:ascii="Verdana" w:hAnsi="Verdana"/>
        </w:rPr>
        <w:tab/>
      </w:r>
      <w:r w:rsidR="009B63A8" w:rsidRPr="008C56DE">
        <w:rPr>
          <w:rFonts w:ascii="Verdana" w:hAnsi="Verdana"/>
        </w:rPr>
        <w:t>For the purposes of this Policy &amp; Procedure, ‘termination’ refers to the exclusion of students from further study due to academic failure.</w:t>
      </w:r>
    </w:p>
    <w:p w14:paraId="75F965A6" w14:textId="77777777" w:rsidR="008C56DE" w:rsidRPr="008C56DE" w:rsidRDefault="008C56DE" w:rsidP="008C56DE">
      <w:pPr>
        <w:pStyle w:val="NoSpacing"/>
        <w:ind w:left="720" w:hanging="720"/>
        <w:rPr>
          <w:rFonts w:ascii="Verdana" w:hAnsi="Verdana"/>
        </w:rPr>
      </w:pPr>
    </w:p>
    <w:p w14:paraId="5D1592BD" w14:textId="77777777" w:rsidR="0053598F" w:rsidRDefault="0053598F" w:rsidP="008C56DE">
      <w:pPr>
        <w:pStyle w:val="NoSpacing"/>
        <w:ind w:left="720" w:hanging="720"/>
        <w:rPr>
          <w:rFonts w:ascii="Verdana" w:hAnsi="Verdana"/>
        </w:rPr>
      </w:pPr>
      <w:r>
        <w:rPr>
          <w:rFonts w:ascii="Verdana" w:hAnsi="Verdana"/>
        </w:rPr>
        <w:t>3.2</w:t>
      </w:r>
      <w:r>
        <w:rPr>
          <w:rFonts w:ascii="Verdana" w:hAnsi="Verdana"/>
        </w:rPr>
        <w:tab/>
      </w:r>
      <w:r w:rsidRPr="00BF7093">
        <w:rPr>
          <w:rFonts w:ascii="Verdana" w:hAnsi="Verdana"/>
        </w:rPr>
        <w:t>For the purposes of this policy, where an individual</w:t>
      </w:r>
      <w:r>
        <w:rPr>
          <w:rFonts w:ascii="Verdana" w:hAnsi="Verdana"/>
        </w:rPr>
        <w:t xml:space="preserve"> role</w:t>
      </w:r>
      <w:r w:rsidRPr="00BF7093">
        <w:rPr>
          <w:rFonts w:ascii="Verdana" w:hAnsi="Verdana"/>
        </w:rPr>
        <w:t xml:space="preserve"> is named this refers to </w:t>
      </w:r>
      <w:r>
        <w:rPr>
          <w:rFonts w:ascii="Verdana" w:hAnsi="Verdana"/>
        </w:rPr>
        <w:t>that role or a nominee.</w:t>
      </w:r>
    </w:p>
    <w:p w14:paraId="1FAB3680" w14:textId="77777777" w:rsidR="00C33E12" w:rsidRDefault="00C33E12" w:rsidP="008C56DE">
      <w:pPr>
        <w:pStyle w:val="NoSpacing"/>
        <w:rPr>
          <w:rFonts w:ascii="Verdana" w:hAnsi="Verdana"/>
          <w:b/>
        </w:rPr>
      </w:pPr>
    </w:p>
    <w:p w14:paraId="06569E2D" w14:textId="77777777" w:rsidR="001019E1" w:rsidRDefault="001019E1" w:rsidP="008C56DE">
      <w:pPr>
        <w:pStyle w:val="NoSpacing"/>
        <w:rPr>
          <w:rFonts w:ascii="Verdana" w:hAnsi="Verdana"/>
          <w:b/>
        </w:rPr>
      </w:pPr>
      <w:r>
        <w:rPr>
          <w:rFonts w:ascii="Verdana" w:hAnsi="Verdana"/>
          <w:b/>
        </w:rPr>
        <w:t>4.0</w:t>
      </w:r>
      <w:r>
        <w:rPr>
          <w:rFonts w:ascii="Verdana" w:hAnsi="Verdana"/>
          <w:b/>
        </w:rPr>
        <w:tab/>
        <w:t>Key principles</w:t>
      </w:r>
    </w:p>
    <w:p w14:paraId="43FED760" w14:textId="77777777" w:rsidR="001019E1" w:rsidRPr="008C56DE" w:rsidRDefault="001019E1" w:rsidP="008C56DE">
      <w:pPr>
        <w:pStyle w:val="NoSpacing"/>
        <w:ind w:left="720" w:hanging="720"/>
        <w:rPr>
          <w:rFonts w:ascii="Verdana" w:hAnsi="Verdana"/>
        </w:rPr>
      </w:pPr>
    </w:p>
    <w:p w14:paraId="22994C1A" w14:textId="77777777" w:rsidR="00F23A87" w:rsidRPr="008C56DE" w:rsidRDefault="009B63A8" w:rsidP="008C56DE">
      <w:pPr>
        <w:pStyle w:val="NoSpacing"/>
        <w:ind w:left="720" w:hanging="720"/>
        <w:rPr>
          <w:rFonts w:ascii="Verdana" w:hAnsi="Verdana"/>
        </w:rPr>
      </w:pPr>
      <w:r w:rsidRPr="008C56DE">
        <w:rPr>
          <w:rFonts w:ascii="Verdana" w:hAnsi="Verdana"/>
        </w:rPr>
        <w:t>4.1</w:t>
      </w:r>
      <w:r w:rsidRPr="008C56DE">
        <w:rPr>
          <w:rFonts w:ascii="Verdana" w:hAnsi="Verdana"/>
        </w:rPr>
        <w:tab/>
        <w:t xml:space="preserve">Students who are not permitted to continue on their programme of study due to academic failure have the right of appeal against the decision on the </w:t>
      </w:r>
      <w:r w:rsidR="00F23A87" w:rsidRPr="008C56DE">
        <w:rPr>
          <w:rFonts w:ascii="Verdana" w:hAnsi="Verdana"/>
        </w:rPr>
        <w:t xml:space="preserve">following </w:t>
      </w:r>
      <w:r w:rsidR="00D46C12" w:rsidRPr="008C56DE">
        <w:rPr>
          <w:rFonts w:ascii="Verdana" w:hAnsi="Verdana"/>
        </w:rPr>
        <w:t>ground</w:t>
      </w:r>
      <w:r w:rsidR="00F23A87" w:rsidRPr="008C56DE">
        <w:rPr>
          <w:rFonts w:ascii="Verdana" w:hAnsi="Verdana"/>
        </w:rPr>
        <w:t>s:</w:t>
      </w:r>
    </w:p>
    <w:p w14:paraId="6E094D32" w14:textId="77777777" w:rsidR="00F23A87" w:rsidRPr="008C56DE" w:rsidRDefault="00F23A87" w:rsidP="008C56DE">
      <w:pPr>
        <w:pStyle w:val="NoSpacing"/>
        <w:ind w:left="720" w:hanging="720"/>
        <w:rPr>
          <w:rFonts w:ascii="Verdana" w:hAnsi="Verdana"/>
        </w:rPr>
      </w:pPr>
    </w:p>
    <w:p w14:paraId="75E36980" w14:textId="7B5CD48F" w:rsidR="00F23A87" w:rsidRPr="008C56DE" w:rsidRDefault="002161CD" w:rsidP="008C56DE">
      <w:pPr>
        <w:pStyle w:val="NoSpacing"/>
        <w:numPr>
          <w:ilvl w:val="0"/>
          <w:numId w:val="17"/>
        </w:numPr>
        <w:rPr>
          <w:rFonts w:ascii="Verdana" w:hAnsi="Verdana"/>
        </w:rPr>
      </w:pPr>
      <w:bookmarkStart w:id="1" w:name="_Hlk516130773"/>
      <w:r w:rsidRPr="008C56DE">
        <w:rPr>
          <w:rFonts w:ascii="Verdana" w:hAnsi="Verdana"/>
        </w:rPr>
        <w:t>valid</w:t>
      </w:r>
      <w:r w:rsidR="00B16DAD" w:rsidRPr="008C56DE">
        <w:rPr>
          <w:rFonts w:ascii="Verdana" w:hAnsi="Verdana"/>
        </w:rPr>
        <w:t xml:space="preserve"> </w:t>
      </w:r>
      <w:r w:rsidR="009B63A8" w:rsidRPr="008C56DE">
        <w:rPr>
          <w:rFonts w:ascii="Verdana" w:hAnsi="Verdana"/>
        </w:rPr>
        <w:t>extenuating circumstances</w:t>
      </w:r>
      <w:r w:rsidR="00F51FB6" w:rsidRPr="008C56DE">
        <w:rPr>
          <w:rFonts w:ascii="Verdana" w:hAnsi="Verdana"/>
        </w:rPr>
        <w:t xml:space="preserve"> where evidence is presented that they</w:t>
      </w:r>
      <w:r w:rsidR="009B63A8" w:rsidRPr="008C56DE">
        <w:rPr>
          <w:rFonts w:ascii="Verdana" w:hAnsi="Verdana"/>
        </w:rPr>
        <w:t xml:space="preserve"> were not known at the time th</w:t>
      </w:r>
      <w:r w:rsidR="00D46C12" w:rsidRPr="008C56DE">
        <w:rPr>
          <w:rFonts w:ascii="Verdana" w:hAnsi="Verdana"/>
        </w:rPr>
        <w:t>e termination decision was made</w:t>
      </w:r>
    </w:p>
    <w:p w14:paraId="33536FC1" w14:textId="77777777" w:rsidR="008C56DE" w:rsidRPr="008C56DE" w:rsidRDefault="008C56DE" w:rsidP="008C56DE">
      <w:pPr>
        <w:pStyle w:val="NoSpacing"/>
        <w:ind w:left="720" w:hanging="720"/>
        <w:rPr>
          <w:rFonts w:ascii="Verdana" w:hAnsi="Verdana"/>
        </w:rPr>
      </w:pPr>
    </w:p>
    <w:p w14:paraId="30535AE6" w14:textId="22F3180E" w:rsidR="00F23A87" w:rsidRPr="008C56DE" w:rsidRDefault="00F23A87" w:rsidP="008C56DE">
      <w:pPr>
        <w:pStyle w:val="NoSpacing"/>
        <w:ind w:left="720"/>
        <w:rPr>
          <w:rFonts w:ascii="Verdana" w:hAnsi="Verdana"/>
        </w:rPr>
      </w:pPr>
      <w:r w:rsidRPr="008C56DE">
        <w:rPr>
          <w:rFonts w:ascii="Verdana" w:hAnsi="Verdana"/>
        </w:rPr>
        <w:t>AND/OR</w:t>
      </w:r>
    </w:p>
    <w:p w14:paraId="62EE9BDD" w14:textId="77777777" w:rsidR="008C56DE" w:rsidRPr="008C56DE" w:rsidRDefault="008C56DE" w:rsidP="008C56DE">
      <w:pPr>
        <w:pStyle w:val="NoSpacing"/>
        <w:ind w:left="720" w:hanging="720"/>
        <w:rPr>
          <w:rFonts w:ascii="Verdana" w:hAnsi="Verdana"/>
        </w:rPr>
      </w:pPr>
    </w:p>
    <w:p w14:paraId="08D2E5BA" w14:textId="04D6C7BA" w:rsidR="00761FB2" w:rsidRPr="008C56DE" w:rsidRDefault="00F23A87" w:rsidP="008C56DE">
      <w:pPr>
        <w:pStyle w:val="NoSpacing"/>
        <w:numPr>
          <w:ilvl w:val="0"/>
          <w:numId w:val="17"/>
        </w:numPr>
        <w:rPr>
          <w:rFonts w:ascii="Verdana" w:hAnsi="Verdana"/>
        </w:rPr>
      </w:pPr>
      <w:r w:rsidRPr="008C56DE">
        <w:rPr>
          <w:rFonts w:ascii="Verdana" w:hAnsi="Verdana"/>
        </w:rPr>
        <w:t>valid extenuating circumstances which could not, for a documented and evidenced reason, be declared through the Mitigating Circumstances Policy at the time</w:t>
      </w:r>
      <w:r w:rsidR="002161CD" w:rsidRPr="008C56DE">
        <w:rPr>
          <w:rFonts w:ascii="Verdana" w:hAnsi="Verdana"/>
        </w:rPr>
        <w:t xml:space="preserve"> (see Appendix I</w:t>
      </w:r>
      <w:r w:rsidR="00A07CB9">
        <w:rPr>
          <w:rFonts w:ascii="Verdana" w:hAnsi="Verdana"/>
        </w:rPr>
        <w:t xml:space="preserve"> in the guidance notes</w:t>
      </w:r>
      <w:r w:rsidR="002161CD" w:rsidRPr="008C56DE">
        <w:rPr>
          <w:rFonts w:ascii="Verdana" w:hAnsi="Verdana"/>
        </w:rPr>
        <w:t>)</w:t>
      </w:r>
      <w:r w:rsidR="00D46C12" w:rsidRPr="008C56DE">
        <w:rPr>
          <w:rFonts w:ascii="Verdana" w:hAnsi="Verdana"/>
        </w:rPr>
        <w:t>.</w:t>
      </w:r>
    </w:p>
    <w:bookmarkEnd w:id="1"/>
    <w:p w14:paraId="49F395EF" w14:textId="77777777" w:rsidR="008C56DE" w:rsidRPr="008C56DE" w:rsidRDefault="008C56DE" w:rsidP="008C56DE">
      <w:pPr>
        <w:pStyle w:val="NoSpacing"/>
        <w:ind w:left="720" w:hanging="720"/>
        <w:rPr>
          <w:rFonts w:ascii="Verdana" w:hAnsi="Verdana"/>
        </w:rPr>
      </w:pPr>
    </w:p>
    <w:p w14:paraId="1DC3BE94" w14:textId="597FF6D7" w:rsidR="004B189A" w:rsidRPr="008C56DE" w:rsidRDefault="00D46C12" w:rsidP="008C56DE">
      <w:pPr>
        <w:pStyle w:val="NoSpacing"/>
        <w:ind w:left="720" w:hanging="720"/>
        <w:rPr>
          <w:rFonts w:ascii="Verdana" w:hAnsi="Verdana"/>
        </w:rPr>
      </w:pPr>
      <w:r w:rsidRPr="008C56DE">
        <w:rPr>
          <w:rFonts w:ascii="Verdana" w:hAnsi="Verdana"/>
        </w:rPr>
        <w:lastRenderedPageBreak/>
        <w:t>4.2</w:t>
      </w:r>
      <w:r w:rsidRPr="008C56DE">
        <w:rPr>
          <w:rFonts w:ascii="Verdana" w:hAnsi="Verdana"/>
        </w:rPr>
        <w:tab/>
        <w:t>Student</w:t>
      </w:r>
      <w:r w:rsidR="00924653" w:rsidRPr="008C56DE">
        <w:rPr>
          <w:rFonts w:ascii="Verdana" w:hAnsi="Verdana"/>
        </w:rPr>
        <w:t>s</w:t>
      </w:r>
      <w:r w:rsidRPr="008C56DE">
        <w:rPr>
          <w:rFonts w:ascii="Verdana" w:hAnsi="Verdana"/>
        </w:rPr>
        <w:t xml:space="preserve"> may also apply </w:t>
      </w:r>
      <w:r w:rsidR="00F51FB6" w:rsidRPr="008C56DE">
        <w:rPr>
          <w:rFonts w:ascii="Verdana" w:hAnsi="Verdana"/>
        </w:rPr>
        <w:t>for a review of</w:t>
      </w:r>
      <w:r w:rsidRPr="008C56DE">
        <w:rPr>
          <w:rFonts w:ascii="Verdana" w:hAnsi="Verdana"/>
        </w:rPr>
        <w:t xml:space="preserve"> </w:t>
      </w:r>
      <w:r w:rsidR="00924653" w:rsidRPr="008C56DE">
        <w:rPr>
          <w:rFonts w:ascii="Verdana" w:hAnsi="Verdana"/>
        </w:rPr>
        <w:t>a</w:t>
      </w:r>
      <w:r w:rsidRPr="008C56DE">
        <w:rPr>
          <w:rFonts w:ascii="Verdana" w:hAnsi="Verdana"/>
        </w:rPr>
        <w:t xml:space="preserve"> termination decision through</w:t>
      </w:r>
      <w:r w:rsidR="004B189A" w:rsidRPr="008C56DE">
        <w:rPr>
          <w:rFonts w:ascii="Verdana" w:hAnsi="Verdana"/>
        </w:rPr>
        <w:t xml:space="preserve"> either </w:t>
      </w:r>
      <w:r w:rsidR="009B63A8" w:rsidRPr="008C56DE">
        <w:rPr>
          <w:rFonts w:ascii="Verdana" w:hAnsi="Verdana"/>
        </w:rPr>
        <w:t>the Academic Appeal Policy</w:t>
      </w:r>
      <w:r w:rsidR="004B189A" w:rsidRPr="008C56DE">
        <w:rPr>
          <w:rFonts w:ascii="Verdana" w:hAnsi="Verdana"/>
        </w:rPr>
        <w:t xml:space="preserve"> or </w:t>
      </w:r>
      <w:r w:rsidR="009B63A8" w:rsidRPr="008C56DE">
        <w:rPr>
          <w:rFonts w:ascii="Verdana" w:hAnsi="Verdana"/>
        </w:rPr>
        <w:t>the Student Complaint Policy</w:t>
      </w:r>
      <w:r w:rsidR="004B189A" w:rsidRPr="008C56DE">
        <w:rPr>
          <w:rFonts w:ascii="Verdana" w:hAnsi="Verdana"/>
        </w:rPr>
        <w:t xml:space="preserve">.  In both cases the outcome must affect the </w:t>
      </w:r>
      <w:r w:rsidR="00392DB6" w:rsidRPr="008C56DE">
        <w:rPr>
          <w:rFonts w:ascii="Verdana" w:hAnsi="Verdana"/>
        </w:rPr>
        <w:t>termination decision.  For further information consult an Academic Advis</w:t>
      </w:r>
      <w:r w:rsidR="008C56DE" w:rsidRPr="008C56DE">
        <w:rPr>
          <w:rFonts w:ascii="Verdana" w:hAnsi="Verdana"/>
        </w:rPr>
        <w:t>er.</w:t>
      </w:r>
    </w:p>
    <w:p w14:paraId="1D2D7AD0" w14:textId="77777777" w:rsidR="008C56DE" w:rsidRPr="008C56DE" w:rsidRDefault="008C56DE" w:rsidP="008C56DE">
      <w:pPr>
        <w:pStyle w:val="NoSpacing"/>
        <w:ind w:left="720" w:hanging="720"/>
        <w:rPr>
          <w:rFonts w:ascii="Verdana" w:hAnsi="Verdana"/>
        </w:rPr>
      </w:pPr>
    </w:p>
    <w:p w14:paraId="7972FB78" w14:textId="77777777" w:rsidR="00392DB6" w:rsidRPr="008C56DE" w:rsidRDefault="00924653" w:rsidP="008C56DE">
      <w:pPr>
        <w:pStyle w:val="NoSpacing"/>
        <w:ind w:left="720" w:hanging="720"/>
        <w:rPr>
          <w:rFonts w:ascii="Verdana" w:hAnsi="Verdana"/>
        </w:rPr>
      </w:pPr>
      <w:r w:rsidRPr="008C56DE">
        <w:rPr>
          <w:rFonts w:ascii="Verdana" w:hAnsi="Verdana"/>
        </w:rPr>
        <w:t>4.3</w:t>
      </w:r>
      <w:r w:rsidR="009B63A8" w:rsidRPr="008C56DE">
        <w:rPr>
          <w:rFonts w:ascii="Verdana" w:hAnsi="Verdana"/>
        </w:rPr>
        <w:tab/>
      </w:r>
      <w:r w:rsidR="00D46C12" w:rsidRPr="008C56DE">
        <w:rPr>
          <w:rFonts w:ascii="Verdana" w:hAnsi="Verdana"/>
        </w:rPr>
        <w:t>A</w:t>
      </w:r>
      <w:r w:rsidR="009B63A8" w:rsidRPr="008C56DE">
        <w:rPr>
          <w:rFonts w:ascii="Verdana" w:hAnsi="Verdana"/>
        </w:rPr>
        <w:t xml:space="preserve">n appeal made </w:t>
      </w:r>
      <w:proofErr w:type="gramStart"/>
      <w:r w:rsidR="009B63A8" w:rsidRPr="008C56DE">
        <w:rPr>
          <w:rFonts w:ascii="Verdana" w:hAnsi="Verdana"/>
        </w:rPr>
        <w:t>on the basis of</w:t>
      </w:r>
      <w:proofErr w:type="gramEnd"/>
      <w:r w:rsidR="009B63A8" w:rsidRPr="008C56DE">
        <w:rPr>
          <w:rFonts w:ascii="Verdana" w:hAnsi="Verdana"/>
        </w:rPr>
        <w:t xml:space="preserve"> extenuating circumstances </w:t>
      </w:r>
      <w:r w:rsidR="00392DB6" w:rsidRPr="008C56DE">
        <w:rPr>
          <w:rFonts w:ascii="Verdana" w:hAnsi="Verdana"/>
        </w:rPr>
        <w:t xml:space="preserve">that </w:t>
      </w:r>
      <w:r w:rsidR="009B63A8" w:rsidRPr="008C56DE">
        <w:rPr>
          <w:rFonts w:ascii="Verdana" w:hAnsi="Verdana"/>
        </w:rPr>
        <w:t>contributed to the academic f</w:t>
      </w:r>
      <w:r w:rsidR="00D46C12" w:rsidRPr="008C56DE">
        <w:rPr>
          <w:rFonts w:ascii="Verdana" w:hAnsi="Verdana"/>
        </w:rPr>
        <w:t xml:space="preserve">ailure </w:t>
      </w:r>
      <w:r w:rsidR="009B63A8" w:rsidRPr="008C56DE">
        <w:rPr>
          <w:rFonts w:ascii="Verdana" w:hAnsi="Verdana"/>
        </w:rPr>
        <w:t xml:space="preserve">must </w:t>
      </w:r>
      <w:r w:rsidR="00D46C12" w:rsidRPr="008C56DE">
        <w:rPr>
          <w:rFonts w:ascii="Verdana" w:hAnsi="Verdana"/>
        </w:rPr>
        <w:t>show</w:t>
      </w:r>
      <w:r w:rsidR="009B63A8" w:rsidRPr="008C56DE">
        <w:rPr>
          <w:rFonts w:ascii="Verdana" w:hAnsi="Verdana"/>
        </w:rPr>
        <w:t xml:space="preserve"> that the circumstances are relevant to the failed assessment(s)</w:t>
      </w:r>
      <w:r w:rsidR="00F51FB6" w:rsidRPr="008C56DE">
        <w:rPr>
          <w:rFonts w:ascii="Verdana" w:hAnsi="Verdana"/>
        </w:rPr>
        <w:t xml:space="preserve"> and must provide an explanation of why the matter was not </w:t>
      </w:r>
      <w:r w:rsidR="00B241CB" w:rsidRPr="008C56DE">
        <w:rPr>
          <w:rFonts w:ascii="Verdana" w:hAnsi="Verdana"/>
        </w:rPr>
        <w:t xml:space="preserve">raised at the time through the appropriate policy (e.g. Mitigating Circumstances Policy).  In addition, </w:t>
      </w:r>
      <w:r w:rsidR="00D46C12" w:rsidRPr="008C56DE">
        <w:rPr>
          <w:rFonts w:ascii="Verdana" w:hAnsi="Verdana"/>
        </w:rPr>
        <w:t>appropriate independent documented</w:t>
      </w:r>
      <w:r w:rsidR="009B63A8" w:rsidRPr="008C56DE">
        <w:rPr>
          <w:rFonts w:ascii="Verdana" w:hAnsi="Verdana"/>
        </w:rPr>
        <w:t xml:space="preserve"> evidence must be provided</w:t>
      </w:r>
      <w:r w:rsidR="002161CD" w:rsidRPr="008C56DE">
        <w:rPr>
          <w:rFonts w:ascii="Verdana" w:hAnsi="Verdana"/>
        </w:rPr>
        <w:t xml:space="preserve"> (see Appendix I)</w:t>
      </w:r>
      <w:r w:rsidR="009B63A8" w:rsidRPr="008C56DE">
        <w:rPr>
          <w:rFonts w:ascii="Verdana" w:hAnsi="Verdana"/>
        </w:rPr>
        <w:t>.</w:t>
      </w:r>
    </w:p>
    <w:p w14:paraId="4B262447" w14:textId="74CD35D5" w:rsidR="009B63A8" w:rsidRPr="008C56DE" w:rsidRDefault="00392DB6" w:rsidP="008C56DE">
      <w:pPr>
        <w:pStyle w:val="NoSpacing"/>
        <w:ind w:left="720" w:hanging="720"/>
        <w:rPr>
          <w:rFonts w:ascii="Verdana" w:hAnsi="Verdana"/>
        </w:rPr>
      </w:pPr>
      <w:r w:rsidRPr="008C56DE">
        <w:rPr>
          <w:rFonts w:ascii="Verdana" w:hAnsi="Verdana"/>
        </w:rPr>
        <w:tab/>
      </w:r>
      <w:r w:rsidR="009B63A8" w:rsidRPr="008C56DE">
        <w:rPr>
          <w:rFonts w:ascii="Verdana" w:hAnsi="Verdana"/>
        </w:rPr>
        <w:t xml:space="preserve">If the same grounds were </w:t>
      </w:r>
      <w:r w:rsidRPr="008C56DE">
        <w:rPr>
          <w:rFonts w:ascii="Verdana" w:hAnsi="Verdana"/>
        </w:rPr>
        <w:t xml:space="preserve">used </w:t>
      </w:r>
      <w:r w:rsidR="009B63A8" w:rsidRPr="008C56DE">
        <w:rPr>
          <w:rFonts w:ascii="Verdana" w:hAnsi="Verdana"/>
        </w:rPr>
        <w:t xml:space="preserve">in a previous application for mitigating </w:t>
      </w:r>
      <w:proofErr w:type="gramStart"/>
      <w:r w:rsidR="009B63A8" w:rsidRPr="008C56DE">
        <w:rPr>
          <w:rFonts w:ascii="Verdana" w:hAnsi="Verdana"/>
        </w:rPr>
        <w:t>circumstances</w:t>
      </w:r>
      <w:proofErr w:type="gramEnd"/>
      <w:r w:rsidR="00872282" w:rsidRPr="008C56DE">
        <w:rPr>
          <w:rFonts w:ascii="Verdana" w:hAnsi="Verdana"/>
        </w:rPr>
        <w:t xml:space="preserve"> </w:t>
      </w:r>
      <w:r w:rsidR="009B63A8" w:rsidRPr="008C56DE">
        <w:rPr>
          <w:rFonts w:ascii="Verdana" w:hAnsi="Verdana"/>
        </w:rPr>
        <w:t>then these will not normally be eligible for an appeal against termination.</w:t>
      </w:r>
    </w:p>
    <w:p w14:paraId="7F971606" w14:textId="77777777" w:rsidR="008C56DE" w:rsidRPr="008C56DE" w:rsidRDefault="008C56DE" w:rsidP="008C56DE">
      <w:pPr>
        <w:pStyle w:val="NoSpacing"/>
        <w:ind w:left="720" w:hanging="720"/>
        <w:rPr>
          <w:rFonts w:ascii="Verdana" w:hAnsi="Verdana"/>
        </w:rPr>
      </w:pPr>
    </w:p>
    <w:p w14:paraId="114A9109" w14:textId="6234E8E0" w:rsidR="009B63A8" w:rsidRPr="008C56DE" w:rsidRDefault="00E27202" w:rsidP="008C56DE">
      <w:pPr>
        <w:pStyle w:val="NoSpacing"/>
        <w:ind w:left="720" w:hanging="720"/>
        <w:rPr>
          <w:rFonts w:ascii="Verdana" w:hAnsi="Verdana"/>
        </w:rPr>
      </w:pPr>
      <w:r w:rsidRPr="008C56DE">
        <w:rPr>
          <w:rFonts w:ascii="Verdana" w:hAnsi="Verdana"/>
        </w:rPr>
        <w:t>4.</w:t>
      </w:r>
      <w:r w:rsidR="00924653" w:rsidRPr="008C56DE">
        <w:rPr>
          <w:rFonts w:ascii="Verdana" w:hAnsi="Verdana"/>
        </w:rPr>
        <w:t>4</w:t>
      </w:r>
      <w:r w:rsidR="009B63A8" w:rsidRPr="008C56DE">
        <w:rPr>
          <w:rFonts w:ascii="Verdana" w:hAnsi="Verdana"/>
        </w:rPr>
        <w:tab/>
      </w:r>
      <w:r w:rsidR="00872282" w:rsidRPr="008C56DE">
        <w:rPr>
          <w:rFonts w:ascii="Verdana" w:hAnsi="Verdana"/>
        </w:rPr>
        <w:t xml:space="preserve">A </w:t>
      </w:r>
      <w:r w:rsidR="009B63A8" w:rsidRPr="008C56DE">
        <w:rPr>
          <w:rFonts w:ascii="Verdana" w:hAnsi="Verdana"/>
        </w:rPr>
        <w:t xml:space="preserve">student whose programme of studies is terminated following the decision of the relevant </w:t>
      </w:r>
      <w:r w:rsidR="006961BA" w:rsidRPr="008C56DE">
        <w:rPr>
          <w:rFonts w:ascii="Verdana" w:hAnsi="Verdana"/>
        </w:rPr>
        <w:t xml:space="preserve">Assessment </w:t>
      </w:r>
      <w:r w:rsidR="009B63A8" w:rsidRPr="008C56DE">
        <w:rPr>
          <w:rFonts w:ascii="Verdana" w:hAnsi="Verdana"/>
        </w:rPr>
        <w:t xml:space="preserve">Board will be written to by the Director of Student &amp; Academic Services (DSAS) and will be advised in writing of their opportunities to have the decision </w:t>
      </w:r>
      <w:r w:rsidR="00B241CB" w:rsidRPr="008C56DE">
        <w:rPr>
          <w:rFonts w:ascii="Verdana" w:hAnsi="Verdana"/>
        </w:rPr>
        <w:t>reviewed</w:t>
      </w:r>
      <w:r w:rsidR="009B63A8" w:rsidRPr="008C56DE">
        <w:rPr>
          <w:rFonts w:ascii="Verdana" w:hAnsi="Verdana"/>
        </w:rPr>
        <w:t>.</w:t>
      </w:r>
    </w:p>
    <w:p w14:paraId="22D6CD97" w14:textId="77777777" w:rsidR="008C56DE" w:rsidRPr="008C56DE" w:rsidRDefault="008C56DE" w:rsidP="008C56DE">
      <w:pPr>
        <w:pStyle w:val="NoSpacing"/>
        <w:ind w:left="720" w:hanging="720"/>
        <w:rPr>
          <w:rFonts w:ascii="Verdana" w:hAnsi="Verdana"/>
        </w:rPr>
      </w:pPr>
    </w:p>
    <w:p w14:paraId="56902FF1" w14:textId="2599E922" w:rsidR="009B63A8" w:rsidRPr="008C56DE" w:rsidRDefault="00E27202" w:rsidP="008C56DE">
      <w:pPr>
        <w:pStyle w:val="NoSpacing"/>
        <w:ind w:left="720" w:hanging="720"/>
        <w:rPr>
          <w:rFonts w:ascii="Verdana" w:hAnsi="Verdana"/>
        </w:rPr>
      </w:pPr>
      <w:r w:rsidRPr="008C56DE">
        <w:rPr>
          <w:rFonts w:ascii="Verdana" w:hAnsi="Verdana"/>
        </w:rPr>
        <w:t>4.</w:t>
      </w:r>
      <w:r w:rsidR="00924653" w:rsidRPr="008C56DE">
        <w:rPr>
          <w:rFonts w:ascii="Verdana" w:hAnsi="Verdana"/>
        </w:rPr>
        <w:t>5</w:t>
      </w:r>
      <w:r w:rsidR="009B63A8" w:rsidRPr="008C56DE">
        <w:rPr>
          <w:rFonts w:ascii="Verdana" w:hAnsi="Verdana"/>
        </w:rPr>
        <w:tab/>
        <w:t>Students have ten working days from the date of the termination letter to make an appeal</w:t>
      </w:r>
      <w:r w:rsidR="002161CD" w:rsidRPr="008C56DE">
        <w:rPr>
          <w:rFonts w:ascii="Verdana" w:hAnsi="Verdana"/>
        </w:rPr>
        <w:t>.  Examples of valid (and invalid) grounds appear in Appendix I and in the Guidance Notes to this Policy.</w:t>
      </w:r>
      <w:r w:rsidR="009B63A8" w:rsidRPr="008C56DE">
        <w:rPr>
          <w:rFonts w:ascii="Verdana" w:hAnsi="Verdana"/>
        </w:rPr>
        <w:t xml:space="preserve">  For appeals made under the Academic Appeals Policy or the Student Complaints Policy, the relevant policy will take precedence over this Termination Appeal Policy.</w:t>
      </w:r>
    </w:p>
    <w:p w14:paraId="1C917793" w14:textId="77777777" w:rsidR="008C56DE" w:rsidRPr="008C56DE" w:rsidRDefault="008C56DE" w:rsidP="008C56DE">
      <w:pPr>
        <w:pStyle w:val="NoSpacing"/>
        <w:ind w:left="720" w:hanging="720"/>
        <w:rPr>
          <w:rFonts w:ascii="Verdana" w:hAnsi="Verdana"/>
        </w:rPr>
      </w:pPr>
    </w:p>
    <w:p w14:paraId="748C2237" w14:textId="13A4FB0D" w:rsidR="009B63A8" w:rsidRPr="008C56DE" w:rsidRDefault="00924653" w:rsidP="008C56DE">
      <w:pPr>
        <w:pStyle w:val="NoSpacing"/>
        <w:ind w:left="720" w:hanging="720"/>
        <w:rPr>
          <w:rFonts w:ascii="Verdana" w:hAnsi="Verdana"/>
        </w:rPr>
      </w:pPr>
      <w:r w:rsidRPr="008C56DE">
        <w:rPr>
          <w:rFonts w:ascii="Verdana" w:hAnsi="Verdana"/>
        </w:rPr>
        <w:t>4.</w:t>
      </w:r>
      <w:r w:rsidR="008C56DE" w:rsidRPr="008C56DE">
        <w:rPr>
          <w:rFonts w:ascii="Verdana" w:hAnsi="Verdana"/>
        </w:rPr>
        <w:t>6</w:t>
      </w:r>
      <w:r w:rsidR="00E27202" w:rsidRPr="008C56DE">
        <w:rPr>
          <w:rFonts w:ascii="Verdana" w:hAnsi="Verdana"/>
        </w:rPr>
        <w:tab/>
      </w:r>
      <w:r w:rsidR="009B63A8" w:rsidRPr="008C56DE">
        <w:rPr>
          <w:rFonts w:ascii="Verdana" w:hAnsi="Verdana"/>
        </w:rPr>
        <w:t>Where an appeal is made under the Academic Appeal</w:t>
      </w:r>
      <w:r w:rsidR="00761FB2" w:rsidRPr="008C56DE">
        <w:rPr>
          <w:rFonts w:ascii="Verdana" w:hAnsi="Verdana"/>
        </w:rPr>
        <w:t>s</w:t>
      </w:r>
      <w:r w:rsidR="009B63A8" w:rsidRPr="008C56DE">
        <w:rPr>
          <w:rFonts w:ascii="Verdana" w:hAnsi="Verdana"/>
        </w:rPr>
        <w:t xml:space="preserve"> Policy or the Student Complaints Policy then the relevant form should be completed</w:t>
      </w:r>
      <w:r w:rsidR="00B241CB" w:rsidRPr="008C56DE">
        <w:rPr>
          <w:rFonts w:ascii="Verdana" w:hAnsi="Verdana"/>
        </w:rPr>
        <w:t xml:space="preserve"> </w:t>
      </w:r>
      <w:r w:rsidR="00392DB6" w:rsidRPr="008C56DE">
        <w:rPr>
          <w:rFonts w:ascii="Verdana" w:hAnsi="Verdana"/>
        </w:rPr>
        <w:t>(i.e. NOT</w:t>
      </w:r>
      <w:r w:rsidR="00B241CB" w:rsidRPr="008C56DE">
        <w:rPr>
          <w:rFonts w:ascii="Verdana" w:hAnsi="Verdana"/>
        </w:rPr>
        <w:t xml:space="preserve"> the Termination Appeal form</w:t>
      </w:r>
      <w:r w:rsidR="00392DB6" w:rsidRPr="008C56DE">
        <w:rPr>
          <w:rFonts w:ascii="Verdana" w:hAnsi="Verdana"/>
        </w:rPr>
        <w:t>)</w:t>
      </w:r>
      <w:r w:rsidR="009B63A8" w:rsidRPr="008C56DE">
        <w:rPr>
          <w:rFonts w:ascii="Verdana" w:hAnsi="Verdana"/>
        </w:rPr>
        <w:t>.</w:t>
      </w:r>
    </w:p>
    <w:p w14:paraId="3B3FE17D" w14:textId="77777777" w:rsidR="008C56DE" w:rsidRPr="008C56DE" w:rsidRDefault="008C56DE" w:rsidP="008C56DE">
      <w:pPr>
        <w:pStyle w:val="NoSpacing"/>
        <w:ind w:left="720" w:hanging="720"/>
        <w:rPr>
          <w:rFonts w:ascii="Verdana" w:hAnsi="Verdana"/>
        </w:rPr>
      </w:pPr>
    </w:p>
    <w:p w14:paraId="3F0986E0" w14:textId="1D3D60EE" w:rsidR="009B63A8" w:rsidRPr="008C56DE" w:rsidRDefault="008C56DE" w:rsidP="008C56DE">
      <w:pPr>
        <w:pStyle w:val="NoSpacing"/>
        <w:ind w:left="720" w:hanging="720"/>
        <w:rPr>
          <w:rFonts w:ascii="Verdana" w:hAnsi="Verdana"/>
        </w:rPr>
      </w:pPr>
      <w:r>
        <w:rPr>
          <w:rFonts w:ascii="Verdana" w:hAnsi="Verdana"/>
        </w:rPr>
        <w:t>4.7</w:t>
      </w:r>
      <w:r>
        <w:rPr>
          <w:rFonts w:ascii="Verdana" w:hAnsi="Verdana"/>
        </w:rPr>
        <w:tab/>
      </w:r>
      <w:r w:rsidR="009B63A8" w:rsidRPr="008C56DE">
        <w:rPr>
          <w:rFonts w:ascii="Verdana" w:hAnsi="Verdana"/>
        </w:rPr>
        <w:t>All appeals on the grounds of extenuating circumstances must be addressed to the Director of Student &amp; Academic Services (DSAS) and submitted on a Termination Appeal Form</w:t>
      </w:r>
      <w:r w:rsidR="00D46C12" w:rsidRPr="008C56DE">
        <w:rPr>
          <w:rFonts w:ascii="Verdana" w:hAnsi="Verdana"/>
        </w:rPr>
        <w:t xml:space="preserve"> (see the Guidance Notes)</w:t>
      </w:r>
      <w:r w:rsidR="009B63A8" w:rsidRPr="008C56DE">
        <w:rPr>
          <w:rFonts w:ascii="Verdana" w:hAnsi="Verdana"/>
        </w:rPr>
        <w:t>.</w:t>
      </w:r>
    </w:p>
    <w:p w14:paraId="30826EFD" w14:textId="77777777" w:rsidR="008C56DE" w:rsidRPr="008C56DE" w:rsidRDefault="008C56DE" w:rsidP="008C56DE">
      <w:pPr>
        <w:pStyle w:val="NoSpacing"/>
        <w:ind w:left="720" w:hanging="720"/>
        <w:rPr>
          <w:rFonts w:ascii="Verdana" w:hAnsi="Verdana"/>
        </w:rPr>
      </w:pPr>
    </w:p>
    <w:p w14:paraId="6B88129E" w14:textId="63A248CF" w:rsidR="00F20E1E" w:rsidRPr="008C56DE" w:rsidRDefault="008C56DE" w:rsidP="008C56DE">
      <w:pPr>
        <w:pStyle w:val="NoSpacing"/>
        <w:ind w:left="720" w:hanging="720"/>
        <w:rPr>
          <w:rFonts w:ascii="Verdana" w:hAnsi="Verdana"/>
        </w:rPr>
      </w:pPr>
      <w:r>
        <w:rPr>
          <w:rFonts w:ascii="Verdana" w:hAnsi="Verdana"/>
        </w:rPr>
        <w:t>4.8</w:t>
      </w:r>
      <w:r>
        <w:rPr>
          <w:rFonts w:ascii="Verdana" w:hAnsi="Verdana"/>
        </w:rPr>
        <w:tab/>
      </w:r>
      <w:r w:rsidR="009B63A8" w:rsidRPr="008C56DE">
        <w:rPr>
          <w:rFonts w:ascii="Verdana" w:hAnsi="Verdana"/>
        </w:rPr>
        <w:t>On receipt of the Termination Appeal Form the DSAS (or nominee) will check that:</w:t>
      </w:r>
    </w:p>
    <w:p w14:paraId="5E3F3008" w14:textId="77777777" w:rsidR="00F20E1E" w:rsidRPr="008C56DE" w:rsidRDefault="009B63A8" w:rsidP="008C56DE">
      <w:pPr>
        <w:pStyle w:val="NoSpacing"/>
        <w:numPr>
          <w:ilvl w:val="0"/>
          <w:numId w:val="17"/>
        </w:numPr>
        <w:rPr>
          <w:rFonts w:ascii="Verdana" w:hAnsi="Verdana"/>
        </w:rPr>
      </w:pPr>
      <w:r w:rsidRPr="008C56DE">
        <w:rPr>
          <w:rFonts w:ascii="Verdana" w:hAnsi="Verdana"/>
        </w:rPr>
        <w:t>the appeal has been received within the prescribed time limit;</w:t>
      </w:r>
    </w:p>
    <w:p w14:paraId="39228DD4" w14:textId="77777777" w:rsidR="009B63A8" w:rsidRPr="008C56DE" w:rsidRDefault="009B63A8" w:rsidP="008C56DE">
      <w:pPr>
        <w:pStyle w:val="NoSpacing"/>
        <w:numPr>
          <w:ilvl w:val="0"/>
          <w:numId w:val="17"/>
        </w:numPr>
        <w:rPr>
          <w:rFonts w:ascii="Verdana" w:hAnsi="Verdana"/>
        </w:rPr>
      </w:pPr>
      <w:r w:rsidRPr="008C56DE">
        <w:rPr>
          <w:rFonts w:ascii="Verdana" w:hAnsi="Verdana"/>
        </w:rPr>
        <w:t>relevant and appropriate supporting documentary evidence has been provided.</w:t>
      </w:r>
    </w:p>
    <w:p w14:paraId="7DA7DF92" w14:textId="39F16FA8" w:rsidR="00872282" w:rsidRPr="008C56DE" w:rsidRDefault="00D72D87" w:rsidP="008C56DE">
      <w:pPr>
        <w:pStyle w:val="NoSpacing"/>
        <w:numPr>
          <w:ilvl w:val="0"/>
          <w:numId w:val="17"/>
        </w:numPr>
        <w:rPr>
          <w:rFonts w:ascii="Verdana" w:hAnsi="Verdana"/>
        </w:rPr>
      </w:pPr>
      <w:r w:rsidRPr="008C56DE">
        <w:rPr>
          <w:rFonts w:ascii="Verdana" w:hAnsi="Verdana"/>
        </w:rPr>
        <w:t>the appeal includes</w:t>
      </w:r>
      <w:r w:rsidR="00872282" w:rsidRPr="008C56DE">
        <w:rPr>
          <w:rFonts w:ascii="Verdana" w:hAnsi="Verdana"/>
        </w:rPr>
        <w:t xml:space="preserve"> </w:t>
      </w:r>
      <w:r w:rsidRPr="008C56DE">
        <w:rPr>
          <w:rFonts w:ascii="Verdana" w:hAnsi="Verdana"/>
        </w:rPr>
        <w:t>information and evidence of the reason why</w:t>
      </w:r>
      <w:r w:rsidR="00872282" w:rsidRPr="008C56DE">
        <w:rPr>
          <w:rFonts w:ascii="Verdana" w:hAnsi="Verdana"/>
        </w:rPr>
        <w:t xml:space="preserve"> the issues were not raised at the time</w:t>
      </w:r>
      <w:r w:rsidRPr="008C56DE">
        <w:rPr>
          <w:rFonts w:ascii="Verdana" w:hAnsi="Verdana"/>
        </w:rPr>
        <w:t xml:space="preserve"> of the assessment concerned (</w:t>
      </w:r>
      <w:r w:rsidR="00872282" w:rsidRPr="008C56DE">
        <w:rPr>
          <w:rFonts w:ascii="Verdana" w:hAnsi="Verdana"/>
        </w:rPr>
        <w:t>e.g. via the Mitigating Circumstances Policy</w:t>
      </w:r>
      <w:r w:rsidRPr="008C56DE">
        <w:rPr>
          <w:rFonts w:ascii="Verdana" w:hAnsi="Verdana"/>
        </w:rPr>
        <w:t>)</w:t>
      </w:r>
      <w:r w:rsidR="00872282" w:rsidRPr="008C56DE">
        <w:rPr>
          <w:rFonts w:ascii="Verdana" w:hAnsi="Verdana"/>
        </w:rPr>
        <w:t>.</w:t>
      </w:r>
    </w:p>
    <w:p w14:paraId="111D6A76" w14:textId="77777777" w:rsidR="008C56DE" w:rsidRPr="008C56DE" w:rsidRDefault="008C56DE" w:rsidP="008C56DE">
      <w:pPr>
        <w:pStyle w:val="NoSpacing"/>
        <w:ind w:left="720" w:hanging="720"/>
        <w:rPr>
          <w:rFonts w:ascii="Verdana" w:hAnsi="Verdana"/>
        </w:rPr>
      </w:pPr>
    </w:p>
    <w:p w14:paraId="2C38D0E9" w14:textId="7998AD2C" w:rsidR="00872282" w:rsidRPr="008C56DE" w:rsidRDefault="008C56DE" w:rsidP="008C56DE">
      <w:pPr>
        <w:pStyle w:val="NoSpacing"/>
        <w:ind w:left="720" w:hanging="720"/>
        <w:rPr>
          <w:rFonts w:ascii="Verdana" w:hAnsi="Verdana"/>
        </w:rPr>
      </w:pPr>
      <w:r>
        <w:rPr>
          <w:rFonts w:ascii="Verdana" w:hAnsi="Verdana"/>
        </w:rPr>
        <w:t>4.9</w:t>
      </w:r>
      <w:r>
        <w:rPr>
          <w:rFonts w:ascii="Verdana" w:hAnsi="Verdana"/>
        </w:rPr>
        <w:tab/>
      </w:r>
      <w:r w:rsidR="009B63A8" w:rsidRPr="008C56DE">
        <w:rPr>
          <w:rFonts w:ascii="Verdana" w:hAnsi="Verdana"/>
        </w:rPr>
        <w:t xml:space="preserve">The </w:t>
      </w:r>
      <w:r w:rsidRPr="008C56DE">
        <w:rPr>
          <w:rFonts w:ascii="Verdana" w:hAnsi="Verdana"/>
        </w:rPr>
        <w:t>Student Conduct, Complaints and Appeals Manager</w:t>
      </w:r>
      <w:r w:rsidR="009B63A8" w:rsidRPr="008C56DE">
        <w:rPr>
          <w:rFonts w:ascii="Verdana" w:hAnsi="Verdana"/>
        </w:rPr>
        <w:t xml:space="preserve"> (or nominee) will </w:t>
      </w:r>
      <w:r w:rsidR="007F22EF" w:rsidRPr="008C56DE">
        <w:rPr>
          <w:rFonts w:ascii="Verdana" w:hAnsi="Verdana"/>
        </w:rPr>
        <w:t xml:space="preserve">triage all </w:t>
      </w:r>
      <w:proofErr w:type="gramStart"/>
      <w:r w:rsidR="007F22EF" w:rsidRPr="008C56DE">
        <w:rPr>
          <w:rFonts w:ascii="Verdana" w:hAnsi="Verdana"/>
        </w:rPr>
        <w:t>applications, and</w:t>
      </w:r>
      <w:proofErr w:type="gramEnd"/>
      <w:r w:rsidR="007F22EF" w:rsidRPr="008C56DE">
        <w:rPr>
          <w:rFonts w:ascii="Verdana" w:hAnsi="Verdana"/>
        </w:rPr>
        <w:t xml:space="preserve"> will separate those including valid evidence and grounds from those without.  </w:t>
      </w:r>
    </w:p>
    <w:p w14:paraId="1AB351A4" w14:textId="77777777" w:rsidR="00872282" w:rsidRPr="008C56DE" w:rsidRDefault="00872282" w:rsidP="008C56DE">
      <w:pPr>
        <w:pStyle w:val="NoSpacing"/>
        <w:ind w:left="720" w:hanging="720"/>
        <w:rPr>
          <w:rFonts w:ascii="Verdana" w:hAnsi="Verdana"/>
        </w:rPr>
      </w:pPr>
    </w:p>
    <w:p w14:paraId="6C4FAFA1" w14:textId="77777777" w:rsidR="00872282" w:rsidRPr="008C56DE" w:rsidRDefault="007F22EF" w:rsidP="008C56DE">
      <w:pPr>
        <w:pStyle w:val="NoSpacing"/>
        <w:ind w:left="720"/>
        <w:rPr>
          <w:rFonts w:ascii="Verdana" w:hAnsi="Verdana"/>
        </w:rPr>
      </w:pPr>
      <w:r w:rsidRPr="008C56DE">
        <w:rPr>
          <w:rFonts w:ascii="Verdana" w:hAnsi="Verdana"/>
        </w:rPr>
        <w:t>Those submissions identified as presenting valid grounds and evidence will be forwarded for the consideration by a meeting of a Termination Appeal Panel (TAP)</w:t>
      </w:r>
      <w:r w:rsidR="00872282" w:rsidRPr="008C56DE">
        <w:rPr>
          <w:rFonts w:ascii="Verdana" w:hAnsi="Verdana"/>
        </w:rPr>
        <w:t>.</w:t>
      </w:r>
    </w:p>
    <w:p w14:paraId="4811B663" w14:textId="77777777" w:rsidR="00872282" w:rsidRPr="008C56DE" w:rsidRDefault="00872282" w:rsidP="008C56DE">
      <w:pPr>
        <w:pStyle w:val="NoSpacing"/>
        <w:ind w:left="720" w:hanging="720"/>
        <w:rPr>
          <w:rFonts w:ascii="Verdana" w:hAnsi="Verdana"/>
        </w:rPr>
      </w:pPr>
    </w:p>
    <w:p w14:paraId="6A8EDA64" w14:textId="5430A8FD" w:rsidR="009B63A8" w:rsidRPr="008C56DE" w:rsidRDefault="00872282" w:rsidP="008C56DE">
      <w:pPr>
        <w:pStyle w:val="NoSpacing"/>
        <w:ind w:left="720"/>
        <w:rPr>
          <w:rFonts w:ascii="Verdana" w:hAnsi="Verdana"/>
        </w:rPr>
      </w:pPr>
      <w:r w:rsidRPr="008C56DE">
        <w:rPr>
          <w:rFonts w:ascii="Verdana" w:hAnsi="Verdana"/>
        </w:rPr>
        <w:lastRenderedPageBreak/>
        <w:t>T</w:t>
      </w:r>
      <w:r w:rsidR="007F22EF" w:rsidRPr="008C56DE">
        <w:rPr>
          <w:rFonts w:ascii="Verdana" w:hAnsi="Verdana"/>
        </w:rPr>
        <w:t>hose which are considered inadequate (i.e. those lacking grounds and/or valid evidence) will be</w:t>
      </w:r>
      <w:r w:rsidRPr="008C56DE">
        <w:rPr>
          <w:rFonts w:ascii="Verdana" w:hAnsi="Verdana"/>
        </w:rPr>
        <w:t xml:space="preserve"> reviewed by the TAP Chair and rejected formally at this time.</w:t>
      </w:r>
    </w:p>
    <w:p w14:paraId="69CFE719" w14:textId="77777777" w:rsidR="008C56DE" w:rsidRPr="008C56DE" w:rsidRDefault="008C56DE" w:rsidP="008C56DE">
      <w:pPr>
        <w:pStyle w:val="NoSpacing"/>
        <w:ind w:left="720" w:hanging="720"/>
        <w:rPr>
          <w:rFonts w:ascii="Verdana" w:hAnsi="Verdana"/>
        </w:rPr>
      </w:pPr>
    </w:p>
    <w:p w14:paraId="055D13C9" w14:textId="2D03DE09" w:rsidR="009B63A8" w:rsidRPr="008C56DE" w:rsidRDefault="008C56DE" w:rsidP="008C56DE">
      <w:pPr>
        <w:pStyle w:val="NoSpacing"/>
        <w:ind w:left="720" w:hanging="720"/>
        <w:rPr>
          <w:rFonts w:ascii="Verdana" w:hAnsi="Verdana"/>
        </w:rPr>
      </w:pPr>
      <w:r>
        <w:rPr>
          <w:rFonts w:ascii="Verdana" w:hAnsi="Verdana"/>
        </w:rPr>
        <w:t>4.10</w:t>
      </w:r>
      <w:r>
        <w:rPr>
          <w:rFonts w:ascii="Verdana" w:hAnsi="Verdana"/>
        </w:rPr>
        <w:tab/>
      </w:r>
      <w:r w:rsidR="009B63A8" w:rsidRPr="008C56DE">
        <w:rPr>
          <w:rFonts w:ascii="Verdana" w:hAnsi="Verdana"/>
        </w:rPr>
        <w:t xml:space="preserve">The </w:t>
      </w:r>
      <w:r w:rsidR="00996DCF" w:rsidRPr="008C56DE">
        <w:rPr>
          <w:rFonts w:ascii="Verdana" w:hAnsi="Verdana"/>
        </w:rPr>
        <w:t>TAP</w:t>
      </w:r>
      <w:r w:rsidR="009B63A8" w:rsidRPr="008C56DE">
        <w:rPr>
          <w:rFonts w:ascii="Verdana" w:hAnsi="Verdana"/>
        </w:rPr>
        <w:t xml:space="preserve"> will </w:t>
      </w:r>
      <w:r w:rsidRPr="008C56DE">
        <w:rPr>
          <w:rFonts w:ascii="Verdana" w:hAnsi="Verdana"/>
        </w:rPr>
        <w:t xml:space="preserve">normally comprise at least three appropriately nominated members of staff from the following - no more than one </w:t>
      </w:r>
      <w:r w:rsidR="00996DCF" w:rsidRPr="008C56DE">
        <w:rPr>
          <w:rFonts w:ascii="Verdana" w:hAnsi="Verdana"/>
        </w:rPr>
        <w:t xml:space="preserve">senior member of staff </w:t>
      </w:r>
      <w:r w:rsidRPr="008C56DE">
        <w:rPr>
          <w:rFonts w:ascii="Verdana" w:hAnsi="Verdana"/>
        </w:rPr>
        <w:t xml:space="preserve">from each Faculty and/or senior members of professional services staff. </w:t>
      </w:r>
      <w:r w:rsidR="00996DCF" w:rsidRPr="008C56DE">
        <w:rPr>
          <w:rFonts w:ascii="Verdana" w:hAnsi="Verdana"/>
        </w:rPr>
        <w:t xml:space="preserve"> </w:t>
      </w:r>
      <w:r w:rsidRPr="008C56DE">
        <w:rPr>
          <w:rFonts w:ascii="Verdana" w:hAnsi="Verdana"/>
        </w:rPr>
        <w:t>The Panel will</w:t>
      </w:r>
      <w:r w:rsidR="00996DCF" w:rsidRPr="008C56DE">
        <w:rPr>
          <w:rFonts w:ascii="Verdana" w:hAnsi="Verdana"/>
        </w:rPr>
        <w:t xml:space="preserve"> be supported by an Officer nominated by the DSAS</w:t>
      </w:r>
      <w:r w:rsidR="009B63A8" w:rsidRPr="008C56DE">
        <w:rPr>
          <w:rFonts w:ascii="Verdana" w:hAnsi="Verdana"/>
        </w:rPr>
        <w:t xml:space="preserve">.  </w:t>
      </w:r>
    </w:p>
    <w:p w14:paraId="611AAF97" w14:textId="77777777" w:rsidR="008C56DE" w:rsidRPr="008C56DE" w:rsidRDefault="008C56DE" w:rsidP="008C56DE">
      <w:pPr>
        <w:pStyle w:val="NoSpacing"/>
        <w:ind w:left="720" w:hanging="720"/>
        <w:rPr>
          <w:rFonts w:ascii="Verdana" w:hAnsi="Verdana"/>
        </w:rPr>
      </w:pPr>
    </w:p>
    <w:p w14:paraId="5ECCB73F" w14:textId="170EBA22" w:rsidR="009B63A8" w:rsidRPr="008C56DE" w:rsidRDefault="008C56DE" w:rsidP="008C56DE">
      <w:pPr>
        <w:pStyle w:val="NoSpacing"/>
        <w:ind w:left="720" w:hanging="720"/>
        <w:rPr>
          <w:rFonts w:ascii="Verdana" w:hAnsi="Verdana"/>
        </w:rPr>
      </w:pPr>
      <w:r>
        <w:rPr>
          <w:rFonts w:ascii="Verdana" w:hAnsi="Verdana"/>
        </w:rPr>
        <w:t>4.11</w:t>
      </w:r>
      <w:r>
        <w:rPr>
          <w:rFonts w:ascii="Verdana" w:hAnsi="Verdana"/>
        </w:rPr>
        <w:tab/>
      </w:r>
      <w:r w:rsidR="009B63A8" w:rsidRPr="008C56DE">
        <w:rPr>
          <w:rFonts w:ascii="Verdana" w:hAnsi="Verdana"/>
        </w:rPr>
        <w:t xml:space="preserve">Where there is a strong, fully evidenced case </w:t>
      </w:r>
      <w:r w:rsidR="00872282" w:rsidRPr="008C56DE">
        <w:rPr>
          <w:rFonts w:ascii="Verdana" w:hAnsi="Verdana"/>
        </w:rPr>
        <w:t xml:space="preserve">that meets the requirements of this policy </w:t>
      </w:r>
      <w:r w:rsidR="009B63A8" w:rsidRPr="008C56DE">
        <w:rPr>
          <w:rFonts w:ascii="Verdana" w:hAnsi="Verdana"/>
        </w:rPr>
        <w:t xml:space="preserve">the Panel </w:t>
      </w:r>
      <w:r w:rsidR="00B241CB" w:rsidRPr="008C56DE">
        <w:rPr>
          <w:rFonts w:ascii="Verdana" w:hAnsi="Verdana"/>
        </w:rPr>
        <w:t xml:space="preserve">will </w:t>
      </w:r>
      <w:r w:rsidR="009B63A8" w:rsidRPr="008C56DE">
        <w:rPr>
          <w:rFonts w:ascii="Verdana" w:hAnsi="Verdana"/>
        </w:rPr>
        <w:t>uphold the appeal.</w:t>
      </w:r>
      <w:r w:rsidR="00996DCF" w:rsidRPr="008C56DE">
        <w:rPr>
          <w:rFonts w:ascii="Verdana" w:hAnsi="Verdana"/>
        </w:rPr>
        <w:t xml:space="preserve">  The Panel will </w:t>
      </w:r>
      <w:proofErr w:type="gramStart"/>
      <w:r w:rsidR="00996DCF" w:rsidRPr="008C56DE">
        <w:rPr>
          <w:rFonts w:ascii="Verdana" w:hAnsi="Verdana"/>
        </w:rPr>
        <w:t>make a decision</w:t>
      </w:r>
      <w:proofErr w:type="gramEnd"/>
      <w:r w:rsidR="00996DCF" w:rsidRPr="008C56DE">
        <w:rPr>
          <w:rFonts w:ascii="Verdana" w:hAnsi="Verdana"/>
        </w:rPr>
        <w:t xml:space="preserve"> based upon the documents presented.</w:t>
      </w:r>
    </w:p>
    <w:p w14:paraId="57BF1DE8" w14:textId="77777777" w:rsidR="008C56DE" w:rsidRPr="008C56DE" w:rsidRDefault="008C56DE" w:rsidP="008C56DE">
      <w:pPr>
        <w:pStyle w:val="NoSpacing"/>
        <w:ind w:left="720" w:hanging="720"/>
        <w:rPr>
          <w:rFonts w:ascii="Verdana" w:hAnsi="Verdana"/>
        </w:rPr>
      </w:pPr>
    </w:p>
    <w:p w14:paraId="6E9ED2B0" w14:textId="599C61A4" w:rsidR="009B63A8" w:rsidRPr="008C56DE" w:rsidRDefault="008C56DE" w:rsidP="008C56DE">
      <w:pPr>
        <w:pStyle w:val="NoSpacing"/>
        <w:ind w:left="720" w:hanging="720"/>
        <w:rPr>
          <w:rFonts w:ascii="Verdana" w:hAnsi="Verdana"/>
        </w:rPr>
      </w:pPr>
      <w:r>
        <w:rPr>
          <w:rFonts w:ascii="Verdana" w:hAnsi="Verdana"/>
        </w:rPr>
        <w:t>4.12</w:t>
      </w:r>
      <w:r>
        <w:rPr>
          <w:rFonts w:ascii="Verdana" w:hAnsi="Verdana"/>
        </w:rPr>
        <w:tab/>
      </w:r>
      <w:r w:rsidR="009B63A8" w:rsidRPr="008C56DE">
        <w:rPr>
          <w:rFonts w:ascii="Verdana" w:hAnsi="Verdana"/>
        </w:rPr>
        <w:t xml:space="preserve">The Panel will </w:t>
      </w:r>
      <w:proofErr w:type="gramStart"/>
      <w:r w:rsidR="009B63A8" w:rsidRPr="008C56DE">
        <w:rPr>
          <w:rFonts w:ascii="Verdana" w:hAnsi="Verdana"/>
        </w:rPr>
        <w:t>take into account</w:t>
      </w:r>
      <w:proofErr w:type="gramEnd"/>
      <w:r w:rsidR="009B63A8" w:rsidRPr="008C56DE">
        <w:rPr>
          <w:rFonts w:ascii="Verdana" w:hAnsi="Verdana"/>
        </w:rPr>
        <w:t xml:space="preserve"> the appellant’s academic performance, attendance and, if relevant, performance in practi</w:t>
      </w:r>
      <w:r w:rsidR="00AA2A9D" w:rsidRPr="008C56DE">
        <w:rPr>
          <w:rFonts w:ascii="Verdana" w:hAnsi="Verdana"/>
        </w:rPr>
        <w:t>s</w:t>
      </w:r>
      <w:r w:rsidR="009B63A8" w:rsidRPr="008C56DE">
        <w:rPr>
          <w:rFonts w:ascii="Verdana" w:hAnsi="Verdana"/>
        </w:rPr>
        <w:t>e</w:t>
      </w:r>
      <w:r w:rsidR="00872282" w:rsidRPr="008C56DE">
        <w:rPr>
          <w:rFonts w:ascii="Verdana" w:hAnsi="Verdana"/>
        </w:rPr>
        <w:t xml:space="preserve"> when considering the facts presented by the student</w:t>
      </w:r>
      <w:r w:rsidR="009B63A8" w:rsidRPr="008C56DE">
        <w:rPr>
          <w:rFonts w:ascii="Verdana" w:hAnsi="Verdana"/>
        </w:rPr>
        <w:t>.</w:t>
      </w:r>
      <w:r w:rsidR="00872282" w:rsidRPr="008C56DE">
        <w:rPr>
          <w:rFonts w:ascii="Verdana" w:hAnsi="Verdana"/>
        </w:rPr>
        <w:t xml:space="preserve">  Where the TAP is unable to </w:t>
      </w:r>
      <w:proofErr w:type="gramStart"/>
      <w:r w:rsidR="00872282" w:rsidRPr="008C56DE">
        <w:rPr>
          <w:rFonts w:ascii="Verdana" w:hAnsi="Verdana"/>
        </w:rPr>
        <w:t>make a decision</w:t>
      </w:r>
      <w:proofErr w:type="gramEnd"/>
      <w:r w:rsidR="00872282" w:rsidRPr="008C56DE">
        <w:rPr>
          <w:rFonts w:ascii="Verdana" w:hAnsi="Verdana"/>
        </w:rPr>
        <w:t xml:space="preserve"> based on the information provided in writing by the student, it has the </w:t>
      </w:r>
      <w:r w:rsidR="00AA2A9D" w:rsidRPr="008C56DE">
        <w:rPr>
          <w:rFonts w:ascii="Verdana" w:hAnsi="Verdana"/>
        </w:rPr>
        <w:t>option of</w:t>
      </w:r>
      <w:r w:rsidR="00872282" w:rsidRPr="008C56DE">
        <w:rPr>
          <w:rFonts w:ascii="Verdana" w:hAnsi="Verdana"/>
        </w:rPr>
        <w:t xml:space="preserve"> </w:t>
      </w:r>
      <w:r w:rsidR="00AA2A9D" w:rsidRPr="008C56DE">
        <w:rPr>
          <w:rFonts w:ascii="Verdana" w:hAnsi="Verdana"/>
        </w:rPr>
        <w:t>asking</w:t>
      </w:r>
      <w:r w:rsidR="00872282" w:rsidRPr="008C56DE">
        <w:rPr>
          <w:rFonts w:ascii="Verdana" w:hAnsi="Verdana"/>
        </w:rPr>
        <w:t xml:space="preserve"> the </w:t>
      </w:r>
      <w:r w:rsidR="0051042B" w:rsidRPr="008C56DE">
        <w:rPr>
          <w:rFonts w:ascii="Verdana" w:hAnsi="Verdana"/>
        </w:rPr>
        <w:t>appellant</w:t>
      </w:r>
      <w:r w:rsidR="00872282" w:rsidRPr="008C56DE">
        <w:rPr>
          <w:rFonts w:ascii="Verdana" w:hAnsi="Verdana"/>
        </w:rPr>
        <w:t xml:space="preserve"> to attend a panel meeting in order to speak to</w:t>
      </w:r>
      <w:r w:rsidR="00AA2A9D" w:rsidRPr="008C56DE">
        <w:rPr>
          <w:rFonts w:ascii="Verdana" w:hAnsi="Verdana"/>
        </w:rPr>
        <w:t xml:space="preserve"> </w:t>
      </w:r>
      <w:r w:rsidR="0051042B" w:rsidRPr="008C56DE">
        <w:rPr>
          <w:rFonts w:ascii="Verdana" w:hAnsi="Verdana"/>
        </w:rPr>
        <w:t xml:space="preserve">and </w:t>
      </w:r>
      <w:r w:rsidR="00AA2A9D" w:rsidRPr="008C56DE">
        <w:rPr>
          <w:rFonts w:ascii="Verdana" w:hAnsi="Verdana"/>
        </w:rPr>
        <w:t>clarify the issues</w:t>
      </w:r>
      <w:r w:rsidR="00872282" w:rsidRPr="008C56DE">
        <w:rPr>
          <w:rFonts w:ascii="Verdana" w:hAnsi="Verdana"/>
        </w:rPr>
        <w:t xml:space="preserve">.  Where a student studies by distance learning, or studies solely with a partner, this </w:t>
      </w:r>
      <w:r w:rsidR="00AA2A9D" w:rsidRPr="008C56DE">
        <w:rPr>
          <w:rFonts w:ascii="Verdana" w:hAnsi="Verdana"/>
        </w:rPr>
        <w:t>panel meeting</w:t>
      </w:r>
      <w:r w:rsidR="00872282" w:rsidRPr="008C56DE">
        <w:rPr>
          <w:rFonts w:ascii="Verdana" w:hAnsi="Verdana"/>
        </w:rPr>
        <w:t xml:space="preserve"> may be done virtually e.g. via a skype or phone call.</w:t>
      </w:r>
      <w:r w:rsidR="009B63A8" w:rsidRPr="008C56DE">
        <w:rPr>
          <w:rFonts w:ascii="Verdana" w:hAnsi="Verdana"/>
        </w:rPr>
        <w:t xml:space="preserve"> </w:t>
      </w:r>
    </w:p>
    <w:p w14:paraId="6B35BDCC" w14:textId="77777777" w:rsidR="008C56DE" w:rsidRPr="008C56DE" w:rsidRDefault="008C56DE" w:rsidP="008C56DE">
      <w:pPr>
        <w:pStyle w:val="NoSpacing"/>
        <w:ind w:left="720" w:hanging="720"/>
        <w:rPr>
          <w:rFonts w:ascii="Verdana" w:hAnsi="Verdana"/>
        </w:rPr>
      </w:pPr>
    </w:p>
    <w:p w14:paraId="5E058BDE" w14:textId="46E1806F" w:rsidR="009B63A8" w:rsidRPr="008C56DE" w:rsidRDefault="008C56DE" w:rsidP="008C56DE">
      <w:pPr>
        <w:pStyle w:val="NoSpacing"/>
        <w:ind w:left="720" w:hanging="720"/>
        <w:rPr>
          <w:rFonts w:ascii="Verdana" w:hAnsi="Verdana"/>
        </w:rPr>
      </w:pPr>
      <w:r>
        <w:rPr>
          <w:rFonts w:ascii="Verdana" w:hAnsi="Verdana"/>
        </w:rPr>
        <w:t>4.13</w:t>
      </w:r>
      <w:r>
        <w:rPr>
          <w:rFonts w:ascii="Verdana" w:hAnsi="Verdana"/>
        </w:rPr>
        <w:tab/>
      </w:r>
      <w:r w:rsidR="009B63A8" w:rsidRPr="008C56DE">
        <w:rPr>
          <w:rFonts w:ascii="Verdana" w:hAnsi="Verdana"/>
        </w:rPr>
        <w:t xml:space="preserve">The Panel will determine the outcome of the appeal largely in accordance with the criteria set out in the Mitigating Circumstances Policy.  The </w:t>
      </w:r>
      <w:r w:rsidRPr="008C56DE">
        <w:rPr>
          <w:rFonts w:ascii="Verdana" w:hAnsi="Verdana"/>
        </w:rPr>
        <w:t>Student Conduct, Complaints and Appeals</w:t>
      </w:r>
      <w:r w:rsidR="009B63A8" w:rsidRPr="008C56DE">
        <w:rPr>
          <w:rFonts w:ascii="Verdana" w:hAnsi="Verdana"/>
        </w:rPr>
        <w:t xml:space="preserve"> Officer (or nominee) will advise the appellant in writing.  There is no internal appeal against the decision of the Termination Appeal Panel.</w:t>
      </w:r>
    </w:p>
    <w:p w14:paraId="3488B45E" w14:textId="77777777" w:rsidR="008C56DE" w:rsidRPr="008C56DE" w:rsidRDefault="008C56DE" w:rsidP="008C56DE">
      <w:pPr>
        <w:pStyle w:val="NoSpacing"/>
        <w:ind w:left="720" w:hanging="720"/>
        <w:rPr>
          <w:rFonts w:ascii="Verdana" w:hAnsi="Verdana"/>
        </w:rPr>
      </w:pPr>
    </w:p>
    <w:p w14:paraId="15D3AD13" w14:textId="7DE55055" w:rsidR="009B63A8" w:rsidRPr="008C56DE" w:rsidRDefault="008C56DE" w:rsidP="008C56DE">
      <w:pPr>
        <w:pStyle w:val="NoSpacing"/>
        <w:ind w:left="720" w:hanging="720"/>
        <w:rPr>
          <w:rFonts w:ascii="Verdana" w:hAnsi="Verdana"/>
        </w:rPr>
      </w:pPr>
      <w:r>
        <w:rPr>
          <w:rFonts w:ascii="Verdana" w:hAnsi="Verdana"/>
        </w:rPr>
        <w:t>4.14</w:t>
      </w:r>
      <w:r>
        <w:rPr>
          <w:rFonts w:ascii="Verdana" w:hAnsi="Verdana"/>
        </w:rPr>
        <w:tab/>
      </w:r>
      <w:r w:rsidR="009B63A8" w:rsidRPr="008C56DE">
        <w:rPr>
          <w:rFonts w:ascii="Verdana" w:hAnsi="Verdana"/>
        </w:rPr>
        <w:t>The Panel’s decision marks the end of the University’s process in relation to termination appeals.  The written outcome will include a ‘Completion of Procedure’ letter, which details the appellant’s right to apply for a review to the Office of the Independent Adjudicator for Higher Education.</w:t>
      </w:r>
    </w:p>
    <w:p w14:paraId="5A8A53A9" w14:textId="77777777" w:rsidR="008C56DE" w:rsidRPr="008C56DE" w:rsidRDefault="008C56DE" w:rsidP="008C56DE">
      <w:pPr>
        <w:pStyle w:val="NoSpacing"/>
        <w:ind w:left="720" w:hanging="720"/>
        <w:rPr>
          <w:rFonts w:ascii="Verdana" w:hAnsi="Verdana"/>
        </w:rPr>
      </w:pPr>
    </w:p>
    <w:p w14:paraId="74A37B2E" w14:textId="6958A771" w:rsidR="009B63A8" w:rsidRPr="008C56DE" w:rsidRDefault="008C56DE" w:rsidP="008C56DE">
      <w:pPr>
        <w:pStyle w:val="NoSpacing"/>
        <w:ind w:left="720" w:hanging="720"/>
        <w:rPr>
          <w:rFonts w:ascii="Verdana" w:hAnsi="Verdana"/>
        </w:rPr>
      </w:pPr>
      <w:r>
        <w:rPr>
          <w:rFonts w:ascii="Verdana" w:hAnsi="Verdana"/>
        </w:rPr>
        <w:t>4.15</w:t>
      </w:r>
      <w:r>
        <w:rPr>
          <w:rFonts w:ascii="Verdana" w:hAnsi="Verdana"/>
        </w:rPr>
        <w:tab/>
      </w:r>
      <w:r w:rsidR="009B63A8" w:rsidRPr="008C56DE">
        <w:rPr>
          <w:rFonts w:ascii="Verdana" w:hAnsi="Verdana"/>
        </w:rPr>
        <w:t xml:space="preserve">All records relating to the appeal (including, where appropriate, the appeal form, formal notes on the hearing and a copy of the outcome letter) will be placed on </w:t>
      </w:r>
      <w:r w:rsidR="00996DCF" w:rsidRPr="008C56DE">
        <w:rPr>
          <w:rFonts w:ascii="Verdana" w:hAnsi="Verdana"/>
        </w:rPr>
        <w:t>record</w:t>
      </w:r>
      <w:r w:rsidR="009B63A8" w:rsidRPr="008C56DE">
        <w:rPr>
          <w:rFonts w:ascii="Verdana" w:hAnsi="Verdana"/>
        </w:rPr>
        <w:t>.</w:t>
      </w:r>
    </w:p>
    <w:p w14:paraId="0D449E32" w14:textId="77777777" w:rsidR="008C56DE" w:rsidRPr="008C56DE" w:rsidRDefault="008C56DE" w:rsidP="008C56DE">
      <w:pPr>
        <w:pStyle w:val="NoSpacing"/>
        <w:ind w:left="720" w:hanging="720"/>
        <w:rPr>
          <w:rFonts w:ascii="Verdana" w:hAnsi="Verdana"/>
        </w:rPr>
      </w:pPr>
    </w:p>
    <w:p w14:paraId="3EB98647" w14:textId="7C51DADA" w:rsidR="00761FB2" w:rsidRPr="008C56DE" w:rsidRDefault="00761FB2" w:rsidP="008C56DE">
      <w:pPr>
        <w:pStyle w:val="NoSpacing"/>
        <w:ind w:left="720" w:hanging="720"/>
        <w:rPr>
          <w:rFonts w:ascii="Verdana" w:hAnsi="Verdana"/>
        </w:rPr>
      </w:pPr>
      <w:r w:rsidRPr="008C56DE">
        <w:rPr>
          <w:rFonts w:ascii="Verdana" w:hAnsi="Verdana"/>
        </w:rPr>
        <w:t>4.1</w:t>
      </w:r>
      <w:r w:rsidR="008C56DE">
        <w:rPr>
          <w:rFonts w:ascii="Verdana" w:hAnsi="Verdana"/>
        </w:rPr>
        <w:t>6</w:t>
      </w:r>
      <w:r w:rsidRPr="008C56DE">
        <w:rPr>
          <w:rFonts w:ascii="Verdana" w:hAnsi="Verdana"/>
        </w:rPr>
        <w:tab/>
        <w:t xml:space="preserve">Students who wish to utilise this Termination Appeals Policy </w:t>
      </w:r>
      <w:r w:rsidR="00AA2A9D" w:rsidRPr="008C56DE">
        <w:rPr>
          <w:rFonts w:ascii="Verdana" w:hAnsi="Verdana"/>
        </w:rPr>
        <w:t>are encouraged</w:t>
      </w:r>
      <w:r w:rsidRPr="008C56DE">
        <w:rPr>
          <w:rFonts w:ascii="Verdana" w:hAnsi="Verdana"/>
        </w:rPr>
        <w:t xml:space="preserve"> to seek </w:t>
      </w:r>
      <w:r w:rsidR="008C56DE">
        <w:rPr>
          <w:rFonts w:ascii="Verdana" w:hAnsi="Verdana"/>
        </w:rPr>
        <w:t>advice</w:t>
      </w:r>
      <w:r w:rsidR="00AA2A9D" w:rsidRPr="008C56DE">
        <w:rPr>
          <w:rFonts w:ascii="Verdana" w:hAnsi="Verdana"/>
        </w:rPr>
        <w:t xml:space="preserve"> </w:t>
      </w:r>
      <w:r w:rsidRPr="008C56DE">
        <w:rPr>
          <w:rFonts w:ascii="Verdana" w:hAnsi="Verdana"/>
        </w:rPr>
        <w:t xml:space="preserve">from </w:t>
      </w:r>
      <w:r w:rsidR="008C56DE" w:rsidRPr="008C56DE">
        <w:rPr>
          <w:rFonts w:ascii="Verdana" w:hAnsi="Verdana"/>
        </w:rPr>
        <w:t>the Student Support and Advice team</w:t>
      </w:r>
      <w:r w:rsidR="00AA2A9D" w:rsidRPr="008C56DE">
        <w:rPr>
          <w:rFonts w:ascii="Verdana" w:hAnsi="Verdana"/>
        </w:rPr>
        <w:t>;</w:t>
      </w:r>
      <w:r w:rsidR="0051042B" w:rsidRPr="008C56DE">
        <w:rPr>
          <w:rFonts w:ascii="Verdana" w:hAnsi="Verdana"/>
        </w:rPr>
        <w:t xml:space="preserve"> </w:t>
      </w:r>
      <w:r w:rsidRPr="008C56DE">
        <w:rPr>
          <w:rFonts w:ascii="Verdana" w:hAnsi="Verdana"/>
        </w:rPr>
        <w:t>on procedural issues</w:t>
      </w:r>
      <w:r w:rsidR="00AA2A9D" w:rsidRPr="008C56DE">
        <w:rPr>
          <w:rFonts w:ascii="Verdana" w:hAnsi="Verdana"/>
        </w:rPr>
        <w:t xml:space="preserve"> they must email </w:t>
      </w:r>
      <w:r w:rsidR="008C56DE" w:rsidRPr="008C56DE">
        <w:rPr>
          <w:rFonts w:ascii="Verdana" w:hAnsi="Verdana"/>
        </w:rPr>
        <w:t>the Student Conduct, Complaints and Appeals Team</w:t>
      </w:r>
      <w:r w:rsidRPr="008C56DE">
        <w:rPr>
          <w:rFonts w:ascii="Verdana" w:hAnsi="Verdana"/>
        </w:rPr>
        <w:t xml:space="preserve">.  They may also wish to seek advice and support from officials at the Students’ Union. </w:t>
      </w:r>
    </w:p>
    <w:p w14:paraId="6E61214A" w14:textId="77777777" w:rsidR="005A2E51" w:rsidRPr="001019E1" w:rsidRDefault="005A2E51" w:rsidP="008C56DE">
      <w:pPr>
        <w:spacing w:after="0" w:line="360" w:lineRule="auto"/>
        <w:ind w:left="720" w:hanging="720"/>
        <w:rPr>
          <w:rFonts w:ascii="Verdana" w:eastAsia="Calibri" w:hAnsi="Verdana" w:cs="Times New Roman"/>
        </w:rPr>
      </w:pPr>
    </w:p>
    <w:p w14:paraId="1F47095F" w14:textId="77777777" w:rsidR="001019E1" w:rsidRDefault="001019E1" w:rsidP="008C56DE">
      <w:pPr>
        <w:pStyle w:val="NoSpacing"/>
        <w:rPr>
          <w:rFonts w:ascii="Verdana" w:hAnsi="Verdana"/>
          <w:b/>
        </w:rPr>
      </w:pPr>
      <w:r>
        <w:rPr>
          <w:rFonts w:ascii="Verdana" w:hAnsi="Verdana"/>
          <w:b/>
        </w:rPr>
        <w:t>5.0</w:t>
      </w:r>
      <w:r>
        <w:rPr>
          <w:rFonts w:ascii="Verdana" w:hAnsi="Verdana"/>
          <w:b/>
        </w:rPr>
        <w:tab/>
        <w:t>Key responsibilities</w:t>
      </w:r>
    </w:p>
    <w:p w14:paraId="033F5429" w14:textId="77777777" w:rsidR="001019E1" w:rsidRDefault="001019E1" w:rsidP="008C56DE">
      <w:pPr>
        <w:pStyle w:val="NoSpacing"/>
        <w:rPr>
          <w:rFonts w:ascii="Verdana" w:hAnsi="Verdana"/>
          <w:b/>
        </w:rPr>
      </w:pPr>
    </w:p>
    <w:p w14:paraId="2F8C69C9" w14:textId="60B476C7" w:rsidR="001019E1" w:rsidRDefault="001019E1" w:rsidP="008C56DE">
      <w:pPr>
        <w:pStyle w:val="NoSpacing"/>
        <w:ind w:left="720" w:hanging="720"/>
        <w:rPr>
          <w:rFonts w:ascii="Verdana" w:hAnsi="Verdana"/>
        </w:rPr>
      </w:pPr>
      <w:r>
        <w:rPr>
          <w:rFonts w:ascii="Verdana" w:hAnsi="Verdana"/>
        </w:rPr>
        <w:t>5.1</w:t>
      </w:r>
      <w:r>
        <w:rPr>
          <w:rFonts w:ascii="Verdana" w:hAnsi="Verdana"/>
        </w:rPr>
        <w:tab/>
        <w:t xml:space="preserve">Service Administrator (SAS) – acknowledge receipt and forward to </w:t>
      </w:r>
      <w:r w:rsidR="008C56DE">
        <w:rPr>
          <w:rFonts w:ascii="Verdana" w:hAnsi="Verdana"/>
        </w:rPr>
        <w:t>Student Conduct, Complaints and Appeals team.</w:t>
      </w:r>
    </w:p>
    <w:p w14:paraId="063D9D51" w14:textId="77777777" w:rsidR="008C56DE" w:rsidRDefault="008C56DE" w:rsidP="008C56DE">
      <w:pPr>
        <w:pStyle w:val="NoSpacing"/>
        <w:ind w:left="720" w:hanging="720"/>
        <w:rPr>
          <w:rFonts w:ascii="Verdana" w:hAnsi="Verdana"/>
        </w:rPr>
      </w:pPr>
    </w:p>
    <w:p w14:paraId="38C3030A" w14:textId="77777777" w:rsidR="001019E1" w:rsidRDefault="001019E1" w:rsidP="008C56DE">
      <w:pPr>
        <w:pStyle w:val="NoSpacing"/>
        <w:rPr>
          <w:rFonts w:ascii="Verdana" w:hAnsi="Verdana"/>
        </w:rPr>
      </w:pPr>
    </w:p>
    <w:p w14:paraId="2C5857E6" w14:textId="5B8B1A39" w:rsidR="001019E1" w:rsidRDefault="00E27202" w:rsidP="008C56DE">
      <w:pPr>
        <w:pStyle w:val="NoSpacing"/>
        <w:ind w:left="720" w:hanging="720"/>
        <w:rPr>
          <w:rFonts w:ascii="Verdana" w:hAnsi="Verdana"/>
        </w:rPr>
      </w:pPr>
      <w:r>
        <w:rPr>
          <w:rFonts w:ascii="Verdana" w:hAnsi="Verdana"/>
        </w:rPr>
        <w:lastRenderedPageBreak/>
        <w:t>5.2</w:t>
      </w:r>
      <w:r>
        <w:rPr>
          <w:rFonts w:ascii="Verdana" w:hAnsi="Verdana"/>
        </w:rPr>
        <w:tab/>
      </w:r>
      <w:r w:rsidR="008C56DE">
        <w:rPr>
          <w:rFonts w:ascii="Verdana" w:hAnsi="Verdana"/>
        </w:rPr>
        <w:t xml:space="preserve">Student Conduct, Complaints and Appeals team </w:t>
      </w:r>
      <w:r w:rsidR="001019E1">
        <w:rPr>
          <w:rFonts w:ascii="Verdana" w:hAnsi="Verdana"/>
        </w:rPr>
        <w:t>– manage the implementation of above process; prepare outcome notification (or draft, depending upon delegated authority), on behalf of the DDSAS</w:t>
      </w:r>
      <w:r w:rsidR="008C56DE">
        <w:rPr>
          <w:rFonts w:ascii="Verdana" w:hAnsi="Verdana"/>
        </w:rPr>
        <w:t>.</w:t>
      </w:r>
    </w:p>
    <w:p w14:paraId="5430CE0C" w14:textId="77777777" w:rsidR="001019E1" w:rsidRDefault="001019E1" w:rsidP="008C56DE">
      <w:pPr>
        <w:pStyle w:val="NoSpacing"/>
        <w:rPr>
          <w:rFonts w:ascii="Verdana" w:hAnsi="Verdana"/>
        </w:rPr>
      </w:pPr>
    </w:p>
    <w:p w14:paraId="6F5D84BD" w14:textId="77777777" w:rsidR="001019E1" w:rsidRDefault="001019E1" w:rsidP="008C56DE">
      <w:pPr>
        <w:pStyle w:val="NoSpacing"/>
        <w:rPr>
          <w:rFonts w:ascii="Verdana" w:hAnsi="Verdana"/>
          <w:b/>
        </w:rPr>
      </w:pPr>
      <w:r>
        <w:rPr>
          <w:rFonts w:ascii="Verdana" w:hAnsi="Verdana"/>
          <w:b/>
        </w:rPr>
        <w:t>6.0</w:t>
      </w:r>
      <w:r>
        <w:rPr>
          <w:rFonts w:ascii="Verdana" w:hAnsi="Verdana"/>
          <w:b/>
        </w:rPr>
        <w:tab/>
        <w:t>Links to related UN Policies/Guidance/Regulations</w:t>
      </w:r>
    </w:p>
    <w:p w14:paraId="71BA3374" w14:textId="77777777" w:rsidR="001019E1" w:rsidRDefault="001019E1" w:rsidP="008C56DE">
      <w:pPr>
        <w:pStyle w:val="NoSpacing"/>
        <w:rPr>
          <w:rFonts w:ascii="Verdana" w:hAnsi="Verdana"/>
          <w:b/>
        </w:rPr>
      </w:pPr>
    </w:p>
    <w:p w14:paraId="0F54DF75" w14:textId="77777777" w:rsidR="001019E1" w:rsidRDefault="001019E1" w:rsidP="008C56DE">
      <w:pPr>
        <w:pStyle w:val="NoSpacing"/>
        <w:ind w:left="720" w:hanging="720"/>
        <w:rPr>
          <w:rFonts w:ascii="Verdana" w:hAnsi="Verdana"/>
        </w:rPr>
      </w:pPr>
      <w:r>
        <w:rPr>
          <w:rFonts w:ascii="Verdana" w:hAnsi="Verdana"/>
        </w:rPr>
        <w:t>6.1</w:t>
      </w:r>
      <w:r>
        <w:rPr>
          <w:rFonts w:ascii="Verdana" w:hAnsi="Verdana"/>
        </w:rPr>
        <w:tab/>
        <w:t>All academic appeals must be dealt with in accordance with the University’s Academic Regulations and Assessment Regulations</w:t>
      </w:r>
      <w:r w:rsidR="00761FB2">
        <w:rPr>
          <w:rFonts w:ascii="Verdana" w:hAnsi="Verdana"/>
        </w:rPr>
        <w:t xml:space="preserve"> and the Academic Appeals Policy</w:t>
      </w:r>
      <w:r>
        <w:rPr>
          <w:rFonts w:ascii="Verdana" w:hAnsi="Verdana"/>
        </w:rPr>
        <w:t>.</w:t>
      </w:r>
    </w:p>
    <w:p w14:paraId="460D37C9" w14:textId="77777777" w:rsidR="001019E1" w:rsidRDefault="001019E1" w:rsidP="008C56DE">
      <w:pPr>
        <w:pStyle w:val="NoSpacing"/>
        <w:ind w:left="720" w:hanging="720"/>
        <w:rPr>
          <w:rFonts w:ascii="Verdana" w:hAnsi="Verdana"/>
        </w:rPr>
      </w:pPr>
    </w:p>
    <w:p w14:paraId="04220146" w14:textId="77777777" w:rsidR="001019E1" w:rsidRDefault="001019E1" w:rsidP="008C56DE">
      <w:pPr>
        <w:pStyle w:val="NoSpacing"/>
        <w:ind w:left="720" w:hanging="720"/>
        <w:rPr>
          <w:rFonts w:ascii="Verdana" w:hAnsi="Verdana"/>
        </w:rPr>
      </w:pPr>
      <w:r>
        <w:rPr>
          <w:rFonts w:ascii="Verdana" w:hAnsi="Verdana"/>
        </w:rPr>
        <w:t>6.2</w:t>
      </w:r>
      <w:r>
        <w:rPr>
          <w:rFonts w:ascii="Verdana" w:hAnsi="Verdana"/>
        </w:rPr>
        <w:tab/>
        <w:t xml:space="preserve">At the discretion of the DDSAS (or nominee), </w:t>
      </w:r>
      <w:r w:rsidR="00AA2A9D">
        <w:rPr>
          <w:rFonts w:ascii="Verdana" w:hAnsi="Verdana"/>
        </w:rPr>
        <w:t xml:space="preserve">a </w:t>
      </w:r>
      <w:r w:rsidR="00E27202">
        <w:rPr>
          <w:rFonts w:ascii="Verdana" w:hAnsi="Verdana"/>
        </w:rPr>
        <w:t>‘complaint’</w:t>
      </w:r>
      <w:r>
        <w:rPr>
          <w:rFonts w:ascii="Verdana" w:hAnsi="Verdana"/>
        </w:rPr>
        <w:t xml:space="preserve"> </w:t>
      </w:r>
      <w:r w:rsidR="00AA2A9D">
        <w:rPr>
          <w:rFonts w:ascii="Verdana" w:hAnsi="Verdana"/>
        </w:rPr>
        <w:t xml:space="preserve">or an ‘academic appeal’ </w:t>
      </w:r>
      <w:r>
        <w:rPr>
          <w:rFonts w:ascii="Verdana" w:hAnsi="Verdana"/>
        </w:rPr>
        <w:t xml:space="preserve">submitted as </w:t>
      </w:r>
      <w:r w:rsidR="00AA2A9D">
        <w:rPr>
          <w:rFonts w:ascii="Verdana" w:hAnsi="Verdana"/>
        </w:rPr>
        <w:t xml:space="preserve">a </w:t>
      </w:r>
      <w:r>
        <w:rPr>
          <w:rFonts w:ascii="Verdana" w:hAnsi="Verdana"/>
        </w:rPr>
        <w:t>‘</w:t>
      </w:r>
      <w:r w:rsidR="00E27202">
        <w:rPr>
          <w:rFonts w:ascii="Verdana" w:hAnsi="Verdana"/>
        </w:rPr>
        <w:t>termination appeal’</w:t>
      </w:r>
      <w:r>
        <w:rPr>
          <w:rFonts w:ascii="Verdana" w:hAnsi="Verdana"/>
        </w:rPr>
        <w:t xml:space="preserve"> may be referred to the Student </w:t>
      </w:r>
      <w:r w:rsidR="00E27202">
        <w:rPr>
          <w:rFonts w:ascii="Verdana" w:hAnsi="Verdana"/>
        </w:rPr>
        <w:t>Complaint</w:t>
      </w:r>
      <w:r>
        <w:rPr>
          <w:rFonts w:ascii="Verdana" w:hAnsi="Verdana"/>
        </w:rPr>
        <w:t xml:space="preserve"> Policy</w:t>
      </w:r>
      <w:r w:rsidR="0070639A">
        <w:rPr>
          <w:rFonts w:ascii="Verdana" w:hAnsi="Verdana"/>
        </w:rPr>
        <w:t xml:space="preserve"> or the Academic Appeal Policy</w:t>
      </w:r>
      <w:r>
        <w:rPr>
          <w:rFonts w:ascii="Verdana" w:hAnsi="Verdana"/>
        </w:rPr>
        <w:t xml:space="preserve">. </w:t>
      </w:r>
      <w:r w:rsidR="003A02FC">
        <w:rPr>
          <w:rFonts w:ascii="Verdana" w:hAnsi="Verdana"/>
        </w:rPr>
        <w:t xml:space="preserve"> </w:t>
      </w:r>
      <w:r>
        <w:rPr>
          <w:rFonts w:ascii="Verdana" w:hAnsi="Verdana"/>
        </w:rPr>
        <w:t xml:space="preserve">In such cases the appellant/complainant </w:t>
      </w:r>
      <w:r w:rsidR="00AA2A9D">
        <w:rPr>
          <w:rFonts w:ascii="Verdana" w:hAnsi="Verdana"/>
        </w:rPr>
        <w:t xml:space="preserve">will </w:t>
      </w:r>
      <w:r>
        <w:rPr>
          <w:rFonts w:ascii="Verdana" w:hAnsi="Verdana"/>
        </w:rPr>
        <w:t>be informed.</w:t>
      </w:r>
    </w:p>
    <w:p w14:paraId="27979972" w14:textId="77777777" w:rsidR="001019E1" w:rsidRDefault="001019E1" w:rsidP="008C56DE">
      <w:pPr>
        <w:pStyle w:val="NoSpacing"/>
        <w:rPr>
          <w:rFonts w:ascii="Verdana" w:hAnsi="Verdana"/>
        </w:rPr>
      </w:pPr>
    </w:p>
    <w:p w14:paraId="7DE67B09" w14:textId="77777777" w:rsidR="001019E1" w:rsidRDefault="001019E1" w:rsidP="008C56DE">
      <w:pPr>
        <w:pStyle w:val="NoSpacing"/>
        <w:rPr>
          <w:rFonts w:ascii="Verdana" w:hAnsi="Verdana"/>
          <w:b/>
        </w:rPr>
      </w:pPr>
      <w:r>
        <w:rPr>
          <w:rFonts w:ascii="Verdana" w:hAnsi="Verdana"/>
          <w:b/>
        </w:rPr>
        <w:t>7.0</w:t>
      </w:r>
      <w:r>
        <w:rPr>
          <w:rFonts w:ascii="Verdana" w:hAnsi="Verdana"/>
          <w:b/>
        </w:rPr>
        <w:tab/>
        <w:t xml:space="preserve">Links to related external documents (e.g. QAA) </w:t>
      </w:r>
    </w:p>
    <w:p w14:paraId="0E0AF332" w14:textId="77777777" w:rsidR="001019E1" w:rsidRDefault="001019E1" w:rsidP="008C56DE">
      <w:pPr>
        <w:pStyle w:val="NoSpacing"/>
        <w:rPr>
          <w:rFonts w:ascii="Verdana" w:hAnsi="Verdana"/>
          <w:b/>
        </w:rPr>
      </w:pPr>
    </w:p>
    <w:p w14:paraId="5520806E" w14:textId="77777777" w:rsidR="001019E1" w:rsidRDefault="001019E1" w:rsidP="008C56DE">
      <w:pPr>
        <w:pStyle w:val="NoSpacing"/>
        <w:rPr>
          <w:rFonts w:ascii="Verdana" w:hAnsi="Verdana"/>
        </w:rPr>
      </w:pPr>
      <w:r>
        <w:rPr>
          <w:rFonts w:ascii="Verdana" w:hAnsi="Verdana"/>
        </w:rPr>
        <w:t>7.1</w:t>
      </w:r>
      <w:r>
        <w:rPr>
          <w:rFonts w:ascii="Verdana" w:hAnsi="Verdana"/>
        </w:rPr>
        <w:tab/>
      </w:r>
      <w:hyperlink r:id="rId8" w:history="1">
        <w:r w:rsidRPr="0017655C">
          <w:rPr>
            <w:rStyle w:val="Hyperlink"/>
            <w:rFonts w:ascii="Verdana" w:hAnsi="Verdana"/>
          </w:rPr>
          <w:t>UK Quality Code for Higher Education</w:t>
        </w:r>
      </w:hyperlink>
      <w:r>
        <w:rPr>
          <w:rFonts w:ascii="Verdana" w:hAnsi="Verdana"/>
        </w:rPr>
        <w:t>.</w:t>
      </w:r>
    </w:p>
    <w:p w14:paraId="5AEBEFCC" w14:textId="77777777" w:rsidR="001019E1" w:rsidRDefault="001019E1" w:rsidP="008C56DE">
      <w:pPr>
        <w:pStyle w:val="NoSpacing"/>
        <w:rPr>
          <w:rFonts w:ascii="Verdana" w:hAnsi="Verdana"/>
        </w:rPr>
      </w:pPr>
    </w:p>
    <w:p w14:paraId="285B5E45" w14:textId="77777777" w:rsidR="001019E1" w:rsidRPr="001652B8" w:rsidRDefault="001019E1" w:rsidP="008C56DE">
      <w:pPr>
        <w:pStyle w:val="NoSpacing"/>
        <w:rPr>
          <w:rFonts w:ascii="Verdana" w:hAnsi="Verdana"/>
          <w:b/>
        </w:rPr>
      </w:pPr>
      <w:r>
        <w:rPr>
          <w:rFonts w:ascii="Verdana" w:hAnsi="Verdana"/>
          <w:b/>
        </w:rPr>
        <w:t>8.0</w:t>
      </w:r>
      <w:r>
        <w:rPr>
          <w:rFonts w:ascii="Verdana" w:hAnsi="Verdana"/>
          <w:b/>
        </w:rPr>
        <w:tab/>
        <w:t xml:space="preserve">Appendices </w:t>
      </w:r>
    </w:p>
    <w:p w14:paraId="543C4BE4" w14:textId="77777777" w:rsidR="001019E1" w:rsidRPr="007E1C18" w:rsidRDefault="001019E1" w:rsidP="008C56DE">
      <w:pPr>
        <w:pStyle w:val="NoSpacing"/>
        <w:rPr>
          <w:rFonts w:ascii="Verdana" w:hAnsi="Verdana"/>
          <w:b/>
        </w:rPr>
      </w:pPr>
    </w:p>
    <w:p w14:paraId="283846F7" w14:textId="77777777" w:rsidR="001019E1" w:rsidRDefault="00F20E1E" w:rsidP="008C56DE">
      <w:pPr>
        <w:pStyle w:val="NoSpacing"/>
        <w:rPr>
          <w:rFonts w:ascii="Verdana" w:hAnsi="Verdana"/>
        </w:rPr>
      </w:pPr>
      <w:r>
        <w:rPr>
          <w:rFonts w:ascii="Verdana" w:hAnsi="Verdana"/>
        </w:rPr>
        <w:t>8.1</w:t>
      </w:r>
      <w:r>
        <w:rPr>
          <w:rFonts w:ascii="Verdana" w:hAnsi="Verdana"/>
        </w:rPr>
        <w:tab/>
      </w:r>
      <w:r w:rsidR="003A02FC">
        <w:rPr>
          <w:rFonts w:ascii="Verdana" w:hAnsi="Verdana"/>
        </w:rPr>
        <w:t>Guidance on Accompanying Friend</w:t>
      </w:r>
    </w:p>
    <w:p w14:paraId="1207431B" w14:textId="77777777" w:rsidR="00C33E12" w:rsidRPr="007E1C18" w:rsidRDefault="00F20E1E" w:rsidP="008C56DE">
      <w:pPr>
        <w:pStyle w:val="NoSpacing"/>
      </w:pPr>
      <w:r>
        <w:rPr>
          <w:rFonts w:ascii="Verdana" w:hAnsi="Verdana"/>
        </w:rPr>
        <w:t>8.2</w:t>
      </w:r>
      <w:r>
        <w:rPr>
          <w:rFonts w:ascii="Verdana" w:hAnsi="Verdana"/>
        </w:rPr>
        <w:tab/>
      </w:r>
      <w:r w:rsidR="00C33E12">
        <w:rPr>
          <w:rFonts w:ascii="Verdana" w:hAnsi="Verdana"/>
        </w:rPr>
        <w:t>Summary Sheet</w:t>
      </w:r>
    </w:p>
    <w:p w14:paraId="3BA62053" w14:textId="77777777" w:rsidR="001019E1" w:rsidRPr="007E1C18" w:rsidRDefault="001019E1" w:rsidP="008C56DE">
      <w:pPr>
        <w:pStyle w:val="NoSpacing"/>
      </w:pPr>
    </w:p>
    <w:p w14:paraId="49CE5A67" w14:textId="77777777" w:rsidR="008C56DE" w:rsidRDefault="008C56DE" w:rsidP="008C56DE">
      <w:pPr>
        <w:pStyle w:val="NoSpacing"/>
        <w:ind w:left="709" w:hanging="709"/>
        <w:rPr>
          <w:rFonts w:ascii="Verdana" w:hAnsi="Verdana"/>
          <w:b/>
        </w:rPr>
      </w:pPr>
      <w:r>
        <w:rPr>
          <w:rFonts w:ascii="Verdana" w:hAnsi="Verdana"/>
          <w:b/>
        </w:rPr>
        <w:br w:type="page"/>
      </w:r>
    </w:p>
    <w:p w14:paraId="6F32EEDC" w14:textId="1A47A695" w:rsidR="00636987" w:rsidRDefault="00636987" w:rsidP="008C56DE">
      <w:pPr>
        <w:pStyle w:val="NoSpacing"/>
        <w:ind w:left="709" w:hanging="709"/>
        <w:rPr>
          <w:rFonts w:ascii="Verdana" w:hAnsi="Verdana"/>
          <w:b/>
        </w:rPr>
      </w:pPr>
      <w:r>
        <w:rPr>
          <w:rFonts w:ascii="Verdana" w:hAnsi="Verdana"/>
          <w:b/>
        </w:rPr>
        <w:lastRenderedPageBreak/>
        <w:t>8.1</w:t>
      </w:r>
      <w:r>
        <w:rPr>
          <w:rFonts w:ascii="Verdana" w:hAnsi="Verdana"/>
          <w:b/>
        </w:rPr>
        <w:tab/>
        <w:t>Guidance on Accompanying ‘Friend’</w:t>
      </w:r>
    </w:p>
    <w:p w14:paraId="10025E8B" w14:textId="77777777" w:rsidR="00636987" w:rsidRDefault="00636987" w:rsidP="008C56DE">
      <w:pPr>
        <w:pStyle w:val="NoSpacing"/>
        <w:rPr>
          <w:rFonts w:ascii="Verdana" w:hAnsi="Verdana"/>
        </w:rPr>
      </w:pPr>
    </w:p>
    <w:p w14:paraId="45F1AE46" w14:textId="77777777" w:rsidR="00636987" w:rsidRDefault="00636987" w:rsidP="008C56DE">
      <w:pPr>
        <w:pStyle w:val="NoSpacing"/>
        <w:rPr>
          <w:rFonts w:ascii="Verdana" w:hAnsi="Verdana"/>
        </w:rPr>
      </w:pPr>
      <w:r>
        <w:rPr>
          <w:rFonts w:ascii="Verdana" w:hAnsi="Verdana"/>
        </w:rPr>
        <w:t>The University of Northampton recognises that providing support and advice to persons making a complaint or an appeal should extend to enabling them to be accompanied at any formal meeting or hearing.</w:t>
      </w:r>
    </w:p>
    <w:p w14:paraId="63B77A9C" w14:textId="77777777" w:rsidR="00636987" w:rsidRDefault="00636987" w:rsidP="008C56DE">
      <w:pPr>
        <w:pStyle w:val="NoSpacing"/>
        <w:ind w:left="709" w:hanging="709"/>
        <w:rPr>
          <w:rFonts w:ascii="Verdana" w:hAnsi="Verdana"/>
        </w:rPr>
      </w:pPr>
    </w:p>
    <w:p w14:paraId="10E7A1F2" w14:textId="77777777" w:rsidR="00636987" w:rsidRDefault="00636987" w:rsidP="008C56DE">
      <w:pPr>
        <w:pStyle w:val="NoSpacing"/>
        <w:ind w:left="709" w:hanging="709"/>
        <w:rPr>
          <w:rFonts w:ascii="Verdana" w:hAnsi="Verdana"/>
          <w:b/>
          <w:i/>
        </w:rPr>
      </w:pPr>
      <w:r>
        <w:rPr>
          <w:rFonts w:ascii="Verdana" w:hAnsi="Verdana"/>
          <w:b/>
          <w:i/>
        </w:rPr>
        <w:t>Legal Representation</w:t>
      </w:r>
    </w:p>
    <w:p w14:paraId="213C6A47" w14:textId="77777777" w:rsidR="00636987" w:rsidRDefault="00636987" w:rsidP="008C56DE">
      <w:pPr>
        <w:pStyle w:val="NoSpacing"/>
        <w:ind w:left="709" w:hanging="709"/>
        <w:rPr>
          <w:rFonts w:ascii="Verdana" w:hAnsi="Verdana"/>
        </w:rPr>
      </w:pPr>
    </w:p>
    <w:p w14:paraId="25C5E376" w14:textId="77777777" w:rsidR="00636987" w:rsidRDefault="00636987" w:rsidP="008C56DE">
      <w:pPr>
        <w:pStyle w:val="NoSpacing"/>
        <w:rPr>
          <w:rFonts w:ascii="Verdana" w:hAnsi="Verdana"/>
        </w:rPr>
      </w:pPr>
      <w:r>
        <w:rPr>
          <w:rFonts w:ascii="Verdana" w:hAnsi="Verdana"/>
        </w:rPr>
        <w:t>Because the proceedings of appeal and complaint hearings are part of University’s internal arrangements, formal legal representation is not normally either helpful or appropriate: legal representation is therefore likely to be the exception, rather than the norm.  A complainant or appellant who intends to be accompanied at a meeting or hearing by a legal representative, or another person acting in a professional capacity, must contact the University to request this at least 5 working days prior to the hearing and set out the reasons for making this request.  Any such request will be considered by the Director of Student and Academic Services (or nominee) and a decision made. The decision, and reasons for it, will be relayed to the student.  Where a legal representative is to be present the University may consider whether to include its own legal representation.  In such circumstances it may become necessary to postpone the meeting to a later date.</w:t>
      </w:r>
    </w:p>
    <w:p w14:paraId="33B3EC27" w14:textId="77777777" w:rsidR="00636987" w:rsidRDefault="00636987" w:rsidP="008C56DE">
      <w:pPr>
        <w:pStyle w:val="NoSpacing"/>
        <w:ind w:left="709" w:hanging="709"/>
        <w:rPr>
          <w:rFonts w:ascii="Verdana" w:hAnsi="Verdana"/>
        </w:rPr>
      </w:pPr>
    </w:p>
    <w:p w14:paraId="1877562F" w14:textId="77777777" w:rsidR="00636987" w:rsidRDefault="00636987" w:rsidP="008C56DE">
      <w:pPr>
        <w:pStyle w:val="NoSpacing"/>
        <w:ind w:left="709" w:hanging="709"/>
        <w:rPr>
          <w:rFonts w:ascii="Verdana" w:hAnsi="Verdana"/>
          <w:b/>
          <w:i/>
        </w:rPr>
      </w:pPr>
      <w:r>
        <w:rPr>
          <w:rFonts w:ascii="Verdana" w:hAnsi="Verdana"/>
          <w:b/>
          <w:i/>
        </w:rPr>
        <w:t>Role of the ‘Friend’</w:t>
      </w:r>
    </w:p>
    <w:p w14:paraId="3531FD86" w14:textId="77777777" w:rsidR="00636987" w:rsidRDefault="00636987" w:rsidP="008C56DE">
      <w:pPr>
        <w:pStyle w:val="NoSpacing"/>
        <w:ind w:left="709" w:hanging="709"/>
        <w:rPr>
          <w:rFonts w:ascii="Verdana" w:hAnsi="Verdana"/>
          <w:b/>
          <w:i/>
        </w:rPr>
      </w:pPr>
    </w:p>
    <w:p w14:paraId="59D7DD36" w14:textId="77777777" w:rsidR="00636987" w:rsidRDefault="00636987" w:rsidP="008C56DE">
      <w:pPr>
        <w:pStyle w:val="NoSpacing"/>
        <w:rPr>
          <w:rFonts w:ascii="Verdana" w:hAnsi="Verdana"/>
        </w:rPr>
      </w:pPr>
      <w:r>
        <w:rPr>
          <w:rFonts w:ascii="Verdana" w:hAnsi="Verdana"/>
        </w:rPr>
        <w:t xml:space="preserve">The University normally restricts the role of friend to that of support and advice.  The friend will not normally be allowed to present the student’s case on his/her behalf, nor respond directly to questions.  At the discretion of the investigator or the Chair of the Hearing, the friend may present a brief supporting statement.  Where a student wishes his/her friend to take a more active role this should be requested to the Chair of the Hearing in advance (with reasons). The Chair will decide whether or not to accept the request. </w:t>
      </w:r>
    </w:p>
    <w:p w14:paraId="494E5129" w14:textId="77777777" w:rsidR="00636987" w:rsidRDefault="00636987" w:rsidP="008C56DE">
      <w:pPr>
        <w:pStyle w:val="NoSpacing"/>
        <w:ind w:left="709" w:hanging="709"/>
        <w:rPr>
          <w:rFonts w:ascii="Verdana" w:hAnsi="Verdana"/>
        </w:rPr>
      </w:pPr>
    </w:p>
    <w:p w14:paraId="5C8C64FD" w14:textId="77777777" w:rsidR="00636987" w:rsidRDefault="00636987" w:rsidP="008C56DE">
      <w:pPr>
        <w:pStyle w:val="NoSpacing"/>
        <w:rPr>
          <w:rFonts w:ascii="Verdana" w:hAnsi="Verdana"/>
        </w:rPr>
      </w:pPr>
      <w:r>
        <w:rPr>
          <w:rFonts w:ascii="Verdana" w:hAnsi="Verdana"/>
        </w:rPr>
        <w:t>The appellant or complainant has the right to confer with their companion during the course of the hearing or meeting, for example, before responding to any question from the panel or the investigator.</w:t>
      </w:r>
    </w:p>
    <w:p w14:paraId="110B289C" w14:textId="77777777" w:rsidR="00636987" w:rsidRDefault="00636987" w:rsidP="008C56DE">
      <w:pPr>
        <w:pStyle w:val="NoSpacing"/>
        <w:rPr>
          <w:rFonts w:ascii="Verdana" w:hAnsi="Verdana"/>
        </w:rPr>
      </w:pPr>
    </w:p>
    <w:p w14:paraId="7421B552" w14:textId="77777777" w:rsidR="00636987" w:rsidRDefault="00636987" w:rsidP="008C56DE">
      <w:pPr>
        <w:pStyle w:val="NoSpacing"/>
        <w:rPr>
          <w:rFonts w:ascii="Verdana" w:hAnsi="Verdana"/>
        </w:rPr>
      </w:pPr>
      <w:r>
        <w:rPr>
          <w:rFonts w:ascii="Verdana" w:hAnsi="Verdana"/>
        </w:rPr>
        <w:t>The appellant or complainant may not be represented in their absence by a third party: in such cases the panel will normally consider the case in their absence.</w:t>
      </w:r>
    </w:p>
    <w:p w14:paraId="4C360406" w14:textId="77777777" w:rsidR="003A02FC" w:rsidRPr="00636987" w:rsidRDefault="00636987" w:rsidP="008C56DE">
      <w:pPr>
        <w:pStyle w:val="NoSpacing"/>
        <w:rPr>
          <w:rFonts w:ascii="Verdana" w:hAnsi="Verdana"/>
        </w:rPr>
      </w:pPr>
      <w:r>
        <w:rPr>
          <w:rFonts w:ascii="Verdana" w:hAnsi="Verdana"/>
        </w:rPr>
        <w:t>Where, through reasons of disability, the appellant or complainant is unable to represent themselves, appropriate adjustments will be made and these arrangements will be subject to approval by the Director of Academic and Student Services.</w:t>
      </w:r>
    </w:p>
    <w:p w14:paraId="4F45301F" w14:textId="77777777" w:rsidR="00C33E12" w:rsidRDefault="00C33E12" w:rsidP="008C56DE">
      <w:pPr>
        <w:spacing w:after="0"/>
      </w:pPr>
      <w:r>
        <w:br w:type="page"/>
      </w:r>
    </w:p>
    <w:p w14:paraId="2C53FC37" w14:textId="77777777" w:rsidR="00C33E12" w:rsidRPr="007E1C18" w:rsidRDefault="00636987" w:rsidP="00C33E12">
      <w:pPr>
        <w:pStyle w:val="NoSpacing"/>
        <w:rPr>
          <w:rFonts w:ascii="Verdana" w:hAnsi="Verdana"/>
          <w:b/>
          <w:sz w:val="28"/>
          <w:szCs w:val="28"/>
        </w:rPr>
      </w:pPr>
      <w:r>
        <w:rPr>
          <w:rFonts w:ascii="Verdana" w:hAnsi="Verdana"/>
          <w:b/>
          <w:sz w:val="28"/>
          <w:szCs w:val="28"/>
        </w:rPr>
        <w:lastRenderedPageBreak/>
        <w:t>8.2</w:t>
      </w:r>
      <w:r>
        <w:rPr>
          <w:rFonts w:ascii="Verdana" w:hAnsi="Verdana"/>
          <w:b/>
          <w:sz w:val="28"/>
          <w:szCs w:val="28"/>
        </w:rPr>
        <w:tab/>
      </w:r>
      <w:r w:rsidR="00C33E12" w:rsidRPr="007E1C18">
        <w:rPr>
          <w:rFonts w:ascii="Verdana" w:hAnsi="Verdana"/>
          <w:b/>
          <w:sz w:val="28"/>
          <w:szCs w:val="28"/>
        </w:rPr>
        <w:t xml:space="preserve">Summary </w:t>
      </w:r>
      <w:r w:rsidR="00C33E12">
        <w:rPr>
          <w:rFonts w:ascii="Verdana" w:hAnsi="Verdana"/>
          <w:b/>
          <w:sz w:val="28"/>
          <w:szCs w:val="28"/>
        </w:rPr>
        <w:t>Sheet</w:t>
      </w:r>
    </w:p>
    <w:p w14:paraId="2CFF937D" w14:textId="77777777" w:rsidR="00C33E12" w:rsidRDefault="00C33E12" w:rsidP="00C33E12">
      <w:pPr>
        <w:pStyle w:val="NoSpacing"/>
        <w:rPr>
          <w:rFonts w:ascii="Verdana" w:hAnsi="Verdana"/>
          <w:b/>
          <w:u w:val="single"/>
        </w:rPr>
      </w:pPr>
    </w:p>
    <w:tbl>
      <w:tblPr>
        <w:tblStyle w:val="TableGrid"/>
        <w:tblW w:w="0" w:type="auto"/>
        <w:tblInd w:w="108" w:type="dxa"/>
        <w:tblLook w:val="04A0" w:firstRow="1" w:lastRow="0" w:firstColumn="1" w:lastColumn="0" w:noHBand="0" w:noVBand="1"/>
      </w:tblPr>
      <w:tblGrid>
        <w:gridCol w:w="4469"/>
        <w:gridCol w:w="4439"/>
      </w:tblGrid>
      <w:tr w:rsidR="00C33E12" w:rsidRPr="00821014" w14:paraId="52360A97" w14:textId="77777777" w:rsidTr="0027399E">
        <w:tc>
          <w:tcPr>
            <w:tcW w:w="9134" w:type="dxa"/>
            <w:gridSpan w:val="2"/>
            <w:shd w:val="pct12" w:color="auto" w:fill="auto"/>
          </w:tcPr>
          <w:p w14:paraId="63C9DD27" w14:textId="77777777" w:rsidR="00C33E12" w:rsidRPr="00821014" w:rsidRDefault="00C33E12" w:rsidP="0027399E">
            <w:pPr>
              <w:pStyle w:val="NoSpacing"/>
              <w:rPr>
                <w:rFonts w:ascii="Verdana" w:hAnsi="Verdana"/>
              </w:rPr>
            </w:pPr>
            <w:r w:rsidRPr="000B2266">
              <w:rPr>
                <w:rFonts w:ascii="Verdana" w:hAnsi="Verdana"/>
                <w:b/>
              </w:rPr>
              <w:t>Policy</w:t>
            </w:r>
            <w:r>
              <w:rPr>
                <w:rFonts w:ascii="Verdana" w:hAnsi="Verdana"/>
                <w:b/>
              </w:rPr>
              <w:t xml:space="preserve"> T</w:t>
            </w:r>
            <w:r w:rsidRPr="000B2266">
              <w:rPr>
                <w:rFonts w:ascii="Verdana" w:hAnsi="Verdana"/>
                <w:b/>
              </w:rPr>
              <w:t>itle:</w:t>
            </w:r>
          </w:p>
        </w:tc>
      </w:tr>
      <w:tr w:rsidR="00C33E12" w:rsidRPr="00821014" w14:paraId="263B24B4" w14:textId="77777777" w:rsidTr="0027399E">
        <w:tc>
          <w:tcPr>
            <w:tcW w:w="9134" w:type="dxa"/>
            <w:gridSpan w:val="2"/>
            <w:tcBorders>
              <w:bottom w:val="single" w:sz="4" w:space="0" w:color="auto"/>
            </w:tcBorders>
          </w:tcPr>
          <w:p w14:paraId="7E41327F" w14:textId="77777777" w:rsidR="00C33E12" w:rsidRPr="00821014" w:rsidRDefault="00C33E12" w:rsidP="00C33E12">
            <w:pPr>
              <w:pStyle w:val="NoSpacing"/>
              <w:spacing w:before="120" w:after="120"/>
              <w:rPr>
                <w:rFonts w:ascii="Verdana" w:hAnsi="Verdana"/>
              </w:rPr>
            </w:pPr>
            <w:r>
              <w:rPr>
                <w:rFonts w:ascii="Verdana" w:hAnsi="Verdana"/>
              </w:rPr>
              <w:t>Termination Appeal</w:t>
            </w:r>
            <w:r w:rsidRPr="003E7C00">
              <w:rPr>
                <w:rFonts w:ascii="Verdana" w:hAnsi="Verdana"/>
              </w:rPr>
              <w:t xml:space="preserve"> Policy </w:t>
            </w:r>
          </w:p>
        </w:tc>
      </w:tr>
      <w:tr w:rsidR="00C33E12" w:rsidRPr="00821014" w14:paraId="6A55E5F3" w14:textId="77777777" w:rsidTr="0027399E">
        <w:tc>
          <w:tcPr>
            <w:tcW w:w="9134" w:type="dxa"/>
            <w:gridSpan w:val="2"/>
            <w:shd w:val="pct12" w:color="auto" w:fill="auto"/>
          </w:tcPr>
          <w:p w14:paraId="45FBDCE4" w14:textId="77777777" w:rsidR="00C33E12" w:rsidRPr="006062AD" w:rsidRDefault="00C33E12" w:rsidP="0027399E">
            <w:pPr>
              <w:pStyle w:val="NoSpacing"/>
              <w:rPr>
                <w:rFonts w:ascii="Verdana" w:hAnsi="Verdana"/>
                <w:b/>
              </w:rPr>
            </w:pPr>
            <w:r w:rsidRPr="006062AD">
              <w:rPr>
                <w:rFonts w:ascii="Verdana" w:hAnsi="Verdana"/>
                <w:b/>
              </w:rPr>
              <w:t>Purpose o</w:t>
            </w:r>
            <w:r>
              <w:rPr>
                <w:rFonts w:ascii="Verdana" w:hAnsi="Verdana"/>
                <w:b/>
              </w:rPr>
              <w:t>f Policy and to whom it applies (please specify cohorts):</w:t>
            </w:r>
          </w:p>
        </w:tc>
      </w:tr>
      <w:tr w:rsidR="00C33E12" w:rsidRPr="00821014" w14:paraId="749AC343" w14:textId="77777777" w:rsidTr="0027399E">
        <w:tc>
          <w:tcPr>
            <w:tcW w:w="9134" w:type="dxa"/>
            <w:gridSpan w:val="2"/>
            <w:tcBorders>
              <w:bottom w:val="single" w:sz="4" w:space="0" w:color="auto"/>
            </w:tcBorders>
          </w:tcPr>
          <w:p w14:paraId="7C639448" w14:textId="77777777" w:rsidR="00C33E12" w:rsidRDefault="00C33E12" w:rsidP="008C56DE">
            <w:pPr>
              <w:pStyle w:val="NoSpacing"/>
              <w:rPr>
                <w:rFonts w:ascii="Verdana" w:hAnsi="Verdana"/>
              </w:rPr>
            </w:pPr>
            <w:r>
              <w:rPr>
                <w:rFonts w:ascii="Verdana" w:hAnsi="Verdana"/>
              </w:rPr>
              <w:t xml:space="preserve">This Policy offers the right </w:t>
            </w:r>
            <w:r w:rsidR="00996DCF">
              <w:rPr>
                <w:rFonts w:ascii="Verdana" w:hAnsi="Verdana"/>
              </w:rPr>
              <w:t>of</w:t>
            </w:r>
            <w:r>
              <w:rPr>
                <w:rFonts w:ascii="Verdana" w:hAnsi="Verdana"/>
              </w:rPr>
              <w:t xml:space="preserve"> appeal to all students terminated through academic failure, </w:t>
            </w:r>
            <w:r w:rsidRPr="009B63A8">
              <w:rPr>
                <w:rFonts w:ascii="Verdana" w:hAnsi="Verdana"/>
                <w:u w:val="single"/>
              </w:rPr>
              <w:t>except</w:t>
            </w:r>
            <w:r>
              <w:rPr>
                <w:rFonts w:ascii="Verdana" w:hAnsi="Verdana"/>
              </w:rPr>
              <w:t xml:space="preserve"> those studying at level 8, who are covered by a separate policy.  Students terminated through other Policies (e.g. Student Disciplinary or Academic Misconduct) have a separate right to appeal encapsulated within those Policies.</w:t>
            </w:r>
          </w:p>
          <w:p w14:paraId="133C9BC6" w14:textId="77777777" w:rsidR="00C33E12" w:rsidRDefault="00C33E12" w:rsidP="008C56DE">
            <w:pPr>
              <w:pStyle w:val="NoSpacing"/>
              <w:rPr>
                <w:rFonts w:ascii="Verdana" w:hAnsi="Verdana"/>
              </w:rPr>
            </w:pPr>
          </w:p>
          <w:p w14:paraId="1730BA19" w14:textId="77777777" w:rsidR="00C33E12" w:rsidRDefault="00C33E12" w:rsidP="008C56DE">
            <w:pPr>
              <w:pStyle w:val="NoSpacing"/>
              <w:rPr>
                <w:rFonts w:ascii="Verdana" w:hAnsi="Verdana"/>
              </w:rPr>
            </w:pPr>
            <w:r w:rsidRPr="00E25E24">
              <w:rPr>
                <w:rFonts w:ascii="Verdana" w:hAnsi="Verdana"/>
              </w:rPr>
              <w:t>This Policy applies to all taught programmes leading to an award of the University</w:t>
            </w:r>
            <w:r w:rsidR="00F20E1E">
              <w:rPr>
                <w:rFonts w:ascii="Verdana" w:hAnsi="Verdana"/>
              </w:rPr>
              <w:t>, including those studying via Education with Others</w:t>
            </w:r>
            <w:r>
              <w:rPr>
                <w:rFonts w:ascii="Verdana" w:hAnsi="Verdana"/>
              </w:rPr>
              <w:t xml:space="preserve">. </w:t>
            </w:r>
          </w:p>
          <w:p w14:paraId="43600947" w14:textId="77777777" w:rsidR="005E5CFC" w:rsidRDefault="005E5CFC" w:rsidP="008C56DE">
            <w:pPr>
              <w:pStyle w:val="NoSpacing"/>
              <w:rPr>
                <w:rFonts w:ascii="Verdana" w:hAnsi="Verdana"/>
              </w:rPr>
            </w:pPr>
          </w:p>
          <w:p w14:paraId="5650CB79" w14:textId="77777777" w:rsidR="005E5CFC" w:rsidRPr="00821014" w:rsidRDefault="005E5CFC" w:rsidP="008C56DE">
            <w:pPr>
              <w:pStyle w:val="NoSpacing"/>
              <w:rPr>
                <w:rFonts w:ascii="Verdana" w:hAnsi="Verdana"/>
              </w:rPr>
            </w:pPr>
            <w:r>
              <w:rPr>
                <w:rFonts w:ascii="Verdana" w:hAnsi="Verdana"/>
              </w:rPr>
              <w:t>This Policy is aligned with Chapter B9 of the QAA Quality Code</w:t>
            </w:r>
          </w:p>
        </w:tc>
      </w:tr>
      <w:tr w:rsidR="00C33E12" w:rsidRPr="00821014" w14:paraId="268290C4" w14:textId="77777777" w:rsidTr="0027399E">
        <w:tc>
          <w:tcPr>
            <w:tcW w:w="9134" w:type="dxa"/>
            <w:gridSpan w:val="2"/>
            <w:shd w:val="pct12" w:color="auto" w:fill="auto"/>
          </w:tcPr>
          <w:p w14:paraId="7041C72A" w14:textId="77777777" w:rsidR="00C33E12" w:rsidRPr="00821014" w:rsidRDefault="00C33E12" w:rsidP="0027399E">
            <w:pPr>
              <w:pStyle w:val="NoSpacing"/>
              <w:rPr>
                <w:rFonts w:ascii="Verdana" w:hAnsi="Verdana"/>
              </w:rPr>
            </w:pPr>
            <w:r>
              <w:rPr>
                <w:rFonts w:ascii="Verdana" w:hAnsi="Verdana"/>
                <w:b/>
              </w:rPr>
              <w:t>Owner</w:t>
            </w:r>
            <w:r w:rsidRPr="000B2266">
              <w:rPr>
                <w:rFonts w:ascii="Verdana" w:hAnsi="Verdana"/>
                <w:b/>
              </w:rPr>
              <w:t xml:space="preserve"> and </w:t>
            </w:r>
            <w:r>
              <w:rPr>
                <w:rFonts w:ascii="Verdana" w:hAnsi="Verdana"/>
                <w:b/>
              </w:rPr>
              <w:t>D</w:t>
            </w:r>
            <w:r w:rsidRPr="000B2266">
              <w:rPr>
                <w:rFonts w:ascii="Verdana" w:hAnsi="Verdana"/>
                <w:b/>
              </w:rPr>
              <w:t>epartment:</w:t>
            </w:r>
          </w:p>
        </w:tc>
      </w:tr>
      <w:tr w:rsidR="00C33E12" w:rsidRPr="00821014" w14:paraId="4E973DB4" w14:textId="77777777" w:rsidTr="0027399E">
        <w:tc>
          <w:tcPr>
            <w:tcW w:w="9134" w:type="dxa"/>
            <w:gridSpan w:val="2"/>
            <w:tcBorders>
              <w:bottom w:val="single" w:sz="4" w:space="0" w:color="auto"/>
            </w:tcBorders>
          </w:tcPr>
          <w:p w14:paraId="79F88871" w14:textId="77777777" w:rsidR="00C33E12" w:rsidRPr="00821014" w:rsidRDefault="00C33E12" w:rsidP="00C33E12">
            <w:pPr>
              <w:pStyle w:val="NoSpacing"/>
              <w:spacing w:before="120" w:after="120"/>
              <w:rPr>
                <w:rFonts w:ascii="Verdana" w:hAnsi="Verdana"/>
              </w:rPr>
            </w:pPr>
            <w:r>
              <w:rPr>
                <w:rFonts w:ascii="Verdana" w:hAnsi="Verdana"/>
              </w:rPr>
              <w:t>Deputy Director of Student &amp; Academic Services</w:t>
            </w:r>
          </w:p>
        </w:tc>
      </w:tr>
      <w:tr w:rsidR="00C33E12" w:rsidRPr="00821014" w14:paraId="40CCBEEF" w14:textId="77777777" w:rsidTr="0027399E">
        <w:tc>
          <w:tcPr>
            <w:tcW w:w="9134" w:type="dxa"/>
            <w:gridSpan w:val="2"/>
            <w:tcBorders>
              <w:bottom w:val="single" w:sz="4" w:space="0" w:color="auto"/>
            </w:tcBorders>
            <w:shd w:val="pct12" w:color="auto" w:fill="auto"/>
          </w:tcPr>
          <w:p w14:paraId="1B26F68A" w14:textId="77777777" w:rsidR="00C33E12" w:rsidRPr="007E1C18" w:rsidRDefault="00C33E12" w:rsidP="0027399E">
            <w:pPr>
              <w:pStyle w:val="NoSpacing"/>
              <w:rPr>
                <w:rFonts w:ascii="Verdana" w:hAnsi="Verdana"/>
                <w:b/>
              </w:rPr>
            </w:pPr>
            <w:r w:rsidRPr="007E1C18">
              <w:rPr>
                <w:rFonts w:ascii="Verdana" w:hAnsi="Verdana"/>
                <w:b/>
              </w:rPr>
              <w:t>Princip</w:t>
            </w:r>
            <w:r>
              <w:rPr>
                <w:rFonts w:ascii="Verdana" w:hAnsi="Verdana"/>
                <w:b/>
              </w:rPr>
              <w:t>al</w:t>
            </w:r>
            <w:r w:rsidRPr="007E1C18">
              <w:rPr>
                <w:rFonts w:ascii="Verdana" w:hAnsi="Verdana"/>
                <w:b/>
              </w:rPr>
              <w:t xml:space="preserve"> contact:</w:t>
            </w:r>
          </w:p>
        </w:tc>
      </w:tr>
      <w:tr w:rsidR="00C33E12" w:rsidRPr="00821014" w14:paraId="00F77159" w14:textId="77777777" w:rsidTr="0027399E">
        <w:tc>
          <w:tcPr>
            <w:tcW w:w="9134" w:type="dxa"/>
            <w:gridSpan w:val="2"/>
            <w:tcBorders>
              <w:bottom w:val="single" w:sz="4" w:space="0" w:color="auto"/>
            </w:tcBorders>
          </w:tcPr>
          <w:p w14:paraId="09C5B683" w14:textId="77777777" w:rsidR="00C33E12" w:rsidRDefault="00C33E12" w:rsidP="00C33E12">
            <w:pPr>
              <w:pStyle w:val="NoSpacing"/>
              <w:spacing w:before="120" w:after="120"/>
              <w:rPr>
                <w:rFonts w:ascii="Verdana" w:hAnsi="Verdana"/>
              </w:rPr>
            </w:pPr>
            <w:r>
              <w:rPr>
                <w:rFonts w:ascii="Verdana" w:hAnsi="Verdana"/>
              </w:rPr>
              <w:t>Kathryn Kendon (ext. 2928)</w:t>
            </w:r>
          </w:p>
        </w:tc>
      </w:tr>
      <w:tr w:rsidR="00C33E12" w:rsidRPr="00821014" w14:paraId="0E6CEEBE" w14:textId="77777777" w:rsidTr="0027399E">
        <w:tc>
          <w:tcPr>
            <w:tcW w:w="9134" w:type="dxa"/>
            <w:gridSpan w:val="2"/>
            <w:tcBorders>
              <w:bottom w:val="single" w:sz="4" w:space="0" w:color="auto"/>
            </w:tcBorders>
            <w:shd w:val="clear" w:color="auto" w:fill="D9D9D9" w:themeFill="background1" w:themeFillShade="D9"/>
          </w:tcPr>
          <w:p w14:paraId="2FC407D3" w14:textId="77777777" w:rsidR="00C33E12" w:rsidRPr="007D3CA7" w:rsidRDefault="00C33E12" w:rsidP="0027399E">
            <w:pPr>
              <w:pStyle w:val="NoSpacing"/>
              <w:rPr>
                <w:rFonts w:ascii="Verdana" w:hAnsi="Verdana"/>
                <w:b/>
              </w:rPr>
            </w:pPr>
            <w:r>
              <w:rPr>
                <w:rFonts w:ascii="Verdana" w:hAnsi="Verdana"/>
                <w:b/>
              </w:rPr>
              <w:t>Dissemination and implementation plan:</w:t>
            </w:r>
          </w:p>
        </w:tc>
      </w:tr>
      <w:tr w:rsidR="00C33E12" w:rsidRPr="00821014" w14:paraId="1F88731D" w14:textId="77777777" w:rsidTr="0027399E">
        <w:tc>
          <w:tcPr>
            <w:tcW w:w="9134" w:type="dxa"/>
            <w:gridSpan w:val="2"/>
            <w:tcBorders>
              <w:bottom w:val="single" w:sz="4" w:space="0" w:color="auto"/>
            </w:tcBorders>
          </w:tcPr>
          <w:p w14:paraId="040F99C6" w14:textId="77777777" w:rsidR="00C33E12" w:rsidRDefault="00C33E12" w:rsidP="00C33E12">
            <w:pPr>
              <w:pStyle w:val="NoSpacing"/>
              <w:spacing w:before="120" w:after="120"/>
              <w:rPr>
                <w:rFonts w:ascii="Verdana" w:hAnsi="Verdana"/>
              </w:rPr>
            </w:pPr>
            <w:r>
              <w:rPr>
                <w:rFonts w:ascii="Verdana" w:hAnsi="Verdana"/>
              </w:rPr>
              <w:t>Via SSECs and SEC.</w:t>
            </w:r>
          </w:p>
          <w:p w14:paraId="658AF93D" w14:textId="77777777" w:rsidR="00C33E12" w:rsidRDefault="00C33E12" w:rsidP="00C33E12">
            <w:pPr>
              <w:pStyle w:val="NoSpacing"/>
              <w:spacing w:before="120" w:after="120"/>
              <w:rPr>
                <w:rFonts w:ascii="Verdana" w:hAnsi="Verdana"/>
              </w:rPr>
            </w:pPr>
            <w:r>
              <w:rPr>
                <w:rFonts w:ascii="Verdana" w:hAnsi="Verdana"/>
              </w:rPr>
              <w:t>Via web</w:t>
            </w:r>
          </w:p>
        </w:tc>
      </w:tr>
      <w:tr w:rsidR="00C33E12" w:rsidRPr="00C604A2" w14:paraId="52C527D9" w14:textId="77777777" w:rsidTr="00C33E12">
        <w:trPr>
          <w:trHeight w:val="391"/>
        </w:trPr>
        <w:tc>
          <w:tcPr>
            <w:tcW w:w="4567" w:type="dxa"/>
            <w:shd w:val="pct12" w:color="auto" w:fill="auto"/>
          </w:tcPr>
          <w:p w14:paraId="50B4E884" w14:textId="77777777" w:rsidR="00C33E12" w:rsidRDefault="00C33E12" w:rsidP="0027399E">
            <w:pPr>
              <w:pStyle w:val="NoSpacing"/>
              <w:rPr>
                <w:rFonts w:ascii="Verdana" w:hAnsi="Verdana"/>
                <w:b/>
              </w:rPr>
            </w:pPr>
            <w:r>
              <w:rPr>
                <w:rFonts w:ascii="Verdana" w:hAnsi="Verdana"/>
                <w:b/>
              </w:rPr>
              <w:t>Date of initial committee approval (state committee name):</w:t>
            </w:r>
          </w:p>
        </w:tc>
        <w:tc>
          <w:tcPr>
            <w:tcW w:w="4567" w:type="dxa"/>
            <w:shd w:val="clear" w:color="auto" w:fill="auto"/>
            <w:vAlign w:val="center"/>
          </w:tcPr>
          <w:p w14:paraId="4748E6A5" w14:textId="77777777" w:rsidR="00C33E12" w:rsidRPr="00C604A2" w:rsidRDefault="00996DCF" w:rsidP="00996DCF">
            <w:pPr>
              <w:pStyle w:val="NoSpacing"/>
              <w:rPr>
                <w:rFonts w:ascii="Verdana" w:hAnsi="Verdana"/>
              </w:rPr>
            </w:pPr>
            <w:r>
              <w:rPr>
                <w:rFonts w:ascii="Verdana" w:hAnsi="Verdana"/>
              </w:rPr>
              <w:t>SEC</w:t>
            </w:r>
          </w:p>
        </w:tc>
      </w:tr>
      <w:tr w:rsidR="00C33E12" w:rsidRPr="00C604A2" w14:paraId="79C63F9B" w14:textId="77777777" w:rsidTr="00C33E12">
        <w:trPr>
          <w:trHeight w:val="391"/>
        </w:trPr>
        <w:tc>
          <w:tcPr>
            <w:tcW w:w="4567" w:type="dxa"/>
            <w:shd w:val="pct12" w:color="auto" w:fill="auto"/>
          </w:tcPr>
          <w:p w14:paraId="70969CDA" w14:textId="77777777" w:rsidR="00C33E12" w:rsidRDefault="00C33E12" w:rsidP="0027399E">
            <w:pPr>
              <w:pStyle w:val="NoSpacing"/>
              <w:rPr>
                <w:rFonts w:ascii="Verdana" w:hAnsi="Verdana"/>
                <w:b/>
              </w:rPr>
            </w:pPr>
            <w:r>
              <w:rPr>
                <w:rFonts w:ascii="Verdana" w:hAnsi="Verdana"/>
                <w:b/>
              </w:rPr>
              <w:t>Date of Senate approval:</w:t>
            </w:r>
          </w:p>
          <w:p w14:paraId="5D0C3C0C" w14:textId="77777777" w:rsidR="00C33E12" w:rsidRPr="000B2266" w:rsidRDefault="00C33E12" w:rsidP="0027399E">
            <w:pPr>
              <w:pStyle w:val="NoSpacing"/>
              <w:rPr>
                <w:rFonts w:ascii="Verdana" w:hAnsi="Verdana"/>
                <w:b/>
              </w:rPr>
            </w:pPr>
          </w:p>
        </w:tc>
        <w:tc>
          <w:tcPr>
            <w:tcW w:w="4567" w:type="dxa"/>
            <w:shd w:val="clear" w:color="auto" w:fill="auto"/>
            <w:vAlign w:val="center"/>
          </w:tcPr>
          <w:p w14:paraId="39688515" w14:textId="77777777" w:rsidR="00C33E12" w:rsidRPr="00C604A2" w:rsidRDefault="00C33E12" w:rsidP="00C33E12">
            <w:pPr>
              <w:pStyle w:val="NoSpacing"/>
              <w:rPr>
                <w:rFonts w:ascii="Verdana" w:hAnsi="Verdana"/>
              </w:rPr>
            </w:pPr>
          </w:p>
        </w:tc>
      </w:tr>
      <w:tr w:rsidR="00C33E12" w:rsidRPr="00C604A2" w14:paraId="32C2F031" w14:textId="77777777" w:rsidTr="00C33E12">
        <w:trPr>
          <w:trHeight w:val="391"/>
        </w:trPr>
        <w:tc>
          <w:tcPr>
            <w:tcW w:w="4567" w:type="dxa"/>
            <w:shd w:val="pct12" w:color="auto" w:fill="auto"/>
          </w:tcPr>
          <w:p w14:paraId="45831A5D" w14:textId="77777777" w:rsidR="00C33E12" w:rsidRDefault="00C33E12" w:rsidP="0027399E">
            <w:pPr>
              <w:pStyle w:val="NoSpacing"/>
              <w:rPr>
                <w:rFonts w:ascii="Verdana" w:hAnsi="Verdana"/>
                <w:b/>
              </w:rPr>
            </w:pPr>
            <w:r>
              <w:rPr>
                <w:rFonts w:ascii="Verdana" w:hAnsi="Verdana"/>
                <w:b/>
              </w:rPr>
              <w:t>Date for implementation and cohorts to which it applies:</w:t>
            </w:r>
          </w:p>
        </w:tc>
        <w:tc>
          <w:tcPr>
            <w:tcW w:w="4567" w:type="dxa"/>
            <w:shd w:val="clear" w:color="auto" w:fill="auto"/>
            <w:vAlign w:val="center"/>
          </w:tcPr>
          <w:p w14:paraId="519741C4" w14:textId="18BB23E0" w:rsidR="00C33E12" w:rsidRPr="00C604A2" w:rsidRDefault="00996DCF" w:rsidP="00C33E12">
            <w:pPr>
              <w:pStyle w:val="NoSpacing"/>
              <w:rPr>
                <w:rFonts w:ascii="Verdana" w:hAnsi="Verdana"/>
              </w:rPr>
            </w:pPr>
            <w:r>
              <w:rPr>
                <w:rFonts w:ascii="Verdana" w:hAnsi="Verdana"/>
              </w:rPr>
              <w:t>September 201</w:t>
            </w:r>
            <w:r w:rsidR="008C56DE">
              <w:rPr>
                <w:rFonts w:ascii="Verdana" w:hAnsi="Verdana"/>
              </w:rPr>
              <w:t>8</w:t>
            </w:r>
            <w:r w:rsidR="00C33E12">
              <w:rPr>
                <w:rFonts w:ascii="Verdana" w:hAnsi="Verdana"/>
              </w:rPr>
              <w:t xml:space="preserve"> for all new and continuing students</w:t>
            </w:r>
          </w:p>
        </w:tc>
      </w:tr>
      <w:tr w:rsidR="00C33E12" w:rsidRPr="00C604A2" w14:paraId="4DAED633" w14:textId="77777777" w:rsidTr="00C33E12">
        <w:trPr>
          <w:trHeight w:val="391"/>
        </w:trPr>
        <w:tc>
          <w:tcPr>
            <w:tcW w:w="4567" w:type="dxa"/>
            <w:shd w:val="pct12" w:color="auto" w:fill="auto"/>
          </w:tcPr>
          <w:p w14:paraId="7B856888" w14:textId="77777777" w:rsidR="00C33E12" w:rsidRDefault="00C33E12" w:rsidP="0027399E">
            <w:pPr>
              <w:pStyle w:val="NoSpacing"/>
              <w:rPr>
                <w:rFonts w:ascii="Verdana" w:hAnsi="Verdana"/>
                <w:b/>
              </w:rPr>
            </w:pPr>
            <w:r>
              <w:rPr>
                <w:rFonts w:ascii="Verdana" w:hAnsi="Verdana"/>
                <w:b/>
              </w:rPr>
              <w:t>Proposed date of annual update:</w:t>
            </w:r>
          </w:p>
          <w:p w14:paraId="4808165A" w14:textId="77777777" w:rsidR="00C33E12" w:rsidRDefault="00C33E12" w:rsidP="0027399E">
            <w:pPr>
              <w:pStyle w:val="NoSpacing"/>
              <w:rPr>
                <w:rFonts w:ascii="Verdana" w:hAnsi="Verdana"/>
                <w:b/>
              </w:rPr>
            </w:pPr>
          </w:p>
        </w:tc>
        <w:tc>
          <w:tcPr>
            <w:tcW w:w="4567" w:type="dxa"/>
            <w:shd w:val="clear" w:color="auto" w:fill="auto"/>
            <w:vAlign w:val="center"/>
          </w:tcPr>
          <w:p w14:paraId="794E58BA" w14:textId="0BD3951C" w:rsidR="00C33E12" w:rsidRPr="00C604A2" w:rsidRDefault="00C33E12" w:rsidP="00C33E12">
            <w:pPr>
              <w:pStyle w:val="NoSpacing"/>
              <w:rPr>
                <w:rFonts w:ascii="Verdana" w:hAnsi="Verdana"/>
              </w:rPr>
            </w:pPr>
            <w:r>
              <w:rPr>
                <w:rFonts w:ascii="Verdana" w:hAnsi="Verdana"/>
              </w:rPr>
              <w:t xml:space="preserve">June </w:t>
            </w:r>
            <w:r w:rsidR="0036241B">
              <w:rPr>
                <w:rFonts w:ascii="Verdana" w:hAnsi="Verdana"/>
              </w:rPr>
              <w:t>201</w:t>
            </w:r>
            <w:r w:rsidR="008C56DE">
              <w:rPr>
                <w:rFonts w:ascii="Verdana" w:hAnsi="Verdana"/>
              </w:rPr>
              <w:t>9</w:t>
            </w:r>
          </w:p>
        </w:tc>
      </w:tr>
      <w:tr w:rsidR="00C33E12" w:rsidRPr="00C604A2" w14:paraId="4C0A1701" w14:textId="77777777" w:rsidTr="00C33E12">
        <w:trPr>
          <w:trHeight w:val="391"/>
        </w:trPr>
        <w:tc>
          <w:tcPr>
            <w:tcW w:w="4567" w:type="dxa"/>
            <w:shd w:val="pct12" w:color="auto" w:fill="auto"/>
          </w:tcPr>
          <w:p w14:paraId="475C3B78" w14:textId="77777777" w:rsidR="00C33E12" w:rsidRDefault="00C33E12" w:rsidP="0027399E">
            <w:pPr>
              <w:pStyle w:val="NoSpacing"/>
              <w:rPr>
                <w:rFonts w:ascii="Verdana" w:hAnsi="Verdana"/>
                <w:b/>
              </w:rPr>
            </w:pPr>
            <w:r>
              <w:rPr>
                <w:rFonts w:ascii="Verdana" w:hAnsi="Verdana"/>
                <w:b/>
              </w:rPr>
              <w:t>Date of last annual update:</w:t>
            </w:r>
          </w:p>
          <w:p w14:paraId="3862355F" w14:textId="77777777" w:rsidR="00C33E12" w:rsidRDefault="00C33E12" w:rsidP="0027399E">
            <w:pPr>
              <w:pStyle w:val="NoSpacing"/>
              <w:rPr>
                <w:rFonts w:ascii="Verdana" w:hAnsi="Verdana"/>
                <w:b/>
              </w:rPr>
            </w:pPr>
          </w:p>
        </w:tc>
        <w:tc>
          <w:tcPr>
            <w:tcW w:w="4567" w:type="dxa"/>
            <w:shd w:val="clear" w:color="auto" w:fill="auto"/>
            <w:vAlign w:val="center"/>
          </w:tcPr>
          <w:p w14:paraId="2AA661FE" w14:textId="1BE09A8C" w:rsidR="00C33E12" w:rsidRPr="00C604A2" w:rsidRDefault="0036241B" w:rsidP="00C33E12">
            <w:pPr>
              <w:pStyle w:val="NoSpacing"/>
              <w:rPr>
                <w:rFonts w:ascii="Verdana" w:hAnsi="Verdana"/>
              </w:rPr>
            </w:pPr>
            <w:r>
              <w:rPr>
                <w:rFonts w:ascii="Verdana" w:hAnsi="Verdana"/>
              </w:rPr>
              <w:t>June 201</w:t>
            </w:r>
            <w:r w:rsidR="008C56DE">
              <w:rPr>
                <w:rFonts w:ascii="Verdana" w:hAnsi="Verdana"/>
              </w:rPr>
              <w:t>8</w:t>
            </w:r>
          </w:p>
        </w:tc>
      </w:tr>
      <w:tr w:rsidR="00C33E12" w:rsidRPr="00C604A2" w14:paraId="6366080A" w14:textId="77777777" w:rsidTr="00C33E12">
        <w:trPr>
          <w:trHeight w:val="391"/>
        </w:trPr>
        <w:tc>
          <w:tcPr>
            <w:tcW w:w="4567" w:type="dxa"/>
            <w:shd w:val="pct12" w:color="auto" w:fill="auto"/>
          </w:tcPr>
          <w:p w14:paraId="3A215103" w14:textId="77777777" w:rsidR="00C33E12" w:rsidRDefault="00C33E12" w:rsidP="0027399E">
            <w:pPr>
              <w:pStyle w:val="NoSpacing"/>
              <w:rPr>
                <w:rFonts w:ascii="Verdana" w:hAnsi="Verdana"/>
                <w:b/>
              </w:rPr>
            </w:pPr>
            <w:r>
              <w:rPr>
                <w:rFonts w:ascii="Verdana" w:hAnsi="Verdana"/>
                <w:b/>
              </w:rPr>
              <w:t>Proposed date of full review:</w:t>
            </w:r>
          </w:p>
          <w:p w14:paraId="2B2DBD27" w14:textId="77777777" w:rsidR="00C33E12" w:rsidRDefault="00C33E12" w:rsidP="0027399E">
            <w:pPr>
              <w:pStyle w:val="NoSpacing"/>
              <w:rPr>
                <w:rFonts w:ascii="Verdana" w:hAnsi="Verdana"/>
                <w:b/>
              </w:rPr>
            </w:pPr>
            <w:r>
              <w:rPr>
                <w:rFonts w:ascii="Verdana" w:hAnsi="Verdana"/>
                <w:b/>
              </w:rPr>
              <w:t xml:space="preserve"> </w:t>
            </w:r>
          </w:p>
        </w:tc>
        <w:tc>
          <w:tcPr>
            <w:tcW w:w="4567" w:type="dxa"/>
            <w:shd w:val="clear" w:color="auto" w:fill="auto"/>
            <w:vAlign w:val="center"/>
          </w:tcPr>
          <w:p w14:paraId="14BE4B93" w14:textId="0075E910" w:rsidR="00C33E12" w:rsidRPr="00C604A2" w:rsidRDefault="008C56DE" w:rsidP="00C33E12">
            <w:pPr>
              <w:pStyle w:val="NoSpacing"/>
              <w:rPr>
                <w:rFonts w:ascii="Verdana" w:hAnsi="Verdana"/>
              </w:rPr>
            </w:pPr>
            <w:r>
              <w:rPr>
                <w:rFonts w:ascii="Verdana" w:hAnsi="Verdana"/>
              </w:rPr>
              <w:t>June 2023</w:t>
            </w:r>
          </w:p>
        </w:tc>
      </w:tr>
      <w:tr w:rsidR="00C33E12" w:rsidRPr="00C604A2" w14:paraId="777DD720" w14:textId="77777777" w:rsidTr="00C33E12">
        <w:trPr>
          <w:trHeight w:val="391"/>
        </w:trPr>
        <w:tc>
          <w:tcPr>
            <w:tcW w:w="4567" w:type="dxa"/>
            <w:shd w:val="pct12" w:color="auto" w:fill="auto"/>
          </w:tcPr>
          <w:p w14:paraId="5C4F45F7" w14:textId="77777777" w:rsidR="00C33E12" w:rsidRDefault="00C33E12" w:rsidP="0027399E">
            <w:pPr>
              <w:pStyle w:val="NoSpacing"/>
              <w:rPr>
                <w:rFonts w:ascii="Verdana" w:hAnsi="Verdana"/>
                <w:b/>
              </w:rPr>
            </w:pPr>
            <w:r>
              <w:rPr>
                <w:rFonts w:ascii="Verdana" w:hAnsi="Verdana"/>
                <w:b/>
              </w:rPr>
              <w:t>Date of last full review:</w:t>
            </w:r>
          </w:p>
          <w:p w14:paraId="683C08DE" w14:textId="77777777" w:rsidR="00C33E12" w:rsidRDefault="00C33E12" w:rsidP="0027399E">
            <w:pPr>
              <w:pStyle w:val="NoSpacing"/>
              <w:rPr>
                <w:rFonts w:ascii="Verdana" w:hAnsi="Verdana"/>
                <w:b/>
              </w:rPr>
            </w:pPr>
          </w:p>
        </w:tc>
        <w:tc>
          <w:tcPr>
            <w:tcW w:w="4567" w:type="dxa"/>
            <w:shd w:val="clear" w:color="auto" w:fill="auto"/>
            <w:vAlign w:val="center"/>
          </w:tcPr>
          <w:p w14:paraId="622D1B51" w14:textId="1DD43E76" w:rsidR="00C33E12" w:rsidRPr="00C604A2" w:rsidRDefault="008C56DE" w:rsidP="00C33E12">
            <w:pPr>
              <w:pStyle w:val="NoSpacing"/>
              <w:rPr>
                <w:rFonts w:ascii="Verdana" w:hAnsi="Verdana"/>
              </w:rPr>
            </w:pPr>
            <w:r>
              <w:rPr>
                <w:rFonts w:ascii="Verdana" w:hAnsi="Verdana"/>
              </w:rPr>
              <w:t>June 2018</w:t>
            </w:r>
          </w:p>
        </w:tc>
      </w:tr>
      <w:tr w:rsidR="00C33E12" w:rsidRPr="00C604A2" w14:paraId="0517D49D" w14:textId="77777777" w:rsidTr="00C33E12">
        <w:trPr>
          <w:trHeight w:val="391"/>
        </w:trPr>
        <w:tc>
          <w:tcPr>
            <w:tcW w:w="4567" w:type="dxa"/>
            <w:shd w:val="pct12" w:color="auto" w:fill="auto"/>
          </w:tcPr>
          <w:p w14:paraId="31B2EBA0" w14:textId="77777777" w:rsidR="00C33E12" w:rsidRDefault="00C33E12" w:rsidP="0027399E">
            <w:pPr>
              <w:pStyle w:val="NoSpacing"/>
              <w:rPr>
                <w:rFonts w:ascii="Verdana" w:hAnsi="Verdana"/>
                <w:b/>
              </w:rPr>
            </w:pPr>
            <w:r>
              <w:rPr>
                <w:rFonts w:ascii="Verdana" w:hAnsi="Verdana"/>
                <w:b/>
              </w:rPr>
              <w:t>Version number and date:</w:t>
            </w:r>
          </w:p>
          <w:p w14:paraId="38061C7D" w14:textId="77777777" w:rsidR="00C33E12" w:rsidRDefault="00C33E12" w:rsidP="0027399E">
            <w:pPr>
              <w:pStyle w:val="NoSpacing"/>
              <w:rPr>
                <w:rFonts w:ascii="Verdana" w:hAnsi="Verdana"/>
                <w:b/>
              </w:rPr>
            </w:pPr>
          </w:p>
        </w:tc>
        <w:tc>
          <w:tcPr>
            <w:tcW w:w="4567" w:type="dxa"/>
            <w:shd w:val="clear" w:color="auto" w:fill="auto"/>
            <w:vAlign w:val="center"/>
          </w:tcPr>
          <w:p w14:paraId="5D7FA633" w14:textId="77777777" w:rsidR="00C33E12" w:rsidRPr="00C604A2" w:rsidRDefault="00996DCF" w:rsidP="00C33E12">
            <w:pPr>
              <w:pStyle w:val="NoSpacing"/>
              <w:rPr>
                <w:rFonts w:ascii="Verdana" w:hAnsi="Verdana"/>
              </w:rPr>
            </w:pPr>
            <w:r>
              <w:rPr>
                <w:rFonts w:ascii="Verdana" w:hAnsi="Verdana"/>
              </w:rPr>
              <w:t>3</w:t>
            </w:r>
            <w:r w:rsidR="00C33E12">
              <w:rPr>
                <w:rFonts w:ascii="Verdana" w:hAnsi="Verdana"/>
              </w:rPr>
              <w:t>.0</w:t>
            </w:r>
          </w:p>
        </w:tc>
      </w:tr>
    </w:tbl>
    <w:p w14:paraId="7E443597" w14:textId="77777777" w:rsidR="00C33E12" w:rsidRDefault="00C33E12" w:rsidP="00C33E12">
      <w:pPr>
        <w:pStyle w:val="NoSpacing"/>
        <w:rPr>
          <w:rFonts w:ascii="Verdana" w:hAnsi="Verdana"/>
          <w:b/>
          <w:u w:val="single"/>
        </w:rPr>
      </w:pPr>
    </w:p>
    <w:p w14:paraId="19C8E8A7" w14:textId="77777777" w:rsidR="007E1C18" w:rsidRPr="007E1C18" w:rsidRDefault="007E1C18" w:rsidP="007E1C18">
      <w:pPr>
        <w:pStyle w:val="NoSpacing"/>
      </w:pPr>
    </w:p>
    <w:sectPr w:rsidR="007E1C18" w:rsidRPr="007E1C18" w:rsidSect="00250CA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E01C5" w14:textId="77777777" w:rsidR="00572374" w:rsidRDefault="00572374" w:rsidP="0052209F">
      <w:pPr>
        <w:spacing w:after="0" w:line="240" w:lineRule="auto"/>
      </w:pPr>
      <w:r>
        <w:separator/>
      </w:r>
    </w:p>
  </w:endnote>
  <w:endnote w:type="continuationSeparator" w:id="0">
    <w:p w14:paraId="6D8E34F2" w14:textId="77777777" w:rsidR="00572374" w:rsidRDefault="00572374" w:rsidP="0052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773B" w14:textId="77777777" w:rsidR="00D46C12" w:rsidRDefault="00D46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978037926"/>
      <w:docPartObj>
        <w:docPartGallery w:val="Page Numbers (Bottom of Page)"/>
        <w:docPartUnique/>
      </w:docPartObj>
    </w:sdtPr>
    <w:sdtEndPr/>
    <w:sdtContent>
      <w:sdt>
        <w:sdtPr>
          <w:rPr>
            <w:rFonts w:ascii="Verdana" w:hAnsi="Verdana"/>
            <w:sz w:val="18"/>
            <w:szCs w:val="18"/>
          </w:rPr>
          <w:id w:val="-1669238322"/>
          <w:docPartObj>
            <w:docPartGallery w:val="Page Numbers (Top of Page)"/>
            <w:docPartUnique/>
          </w:docPartObj>
        </w:sdtPr>
        <w:sdtEndPr/>
        <w:sdtContent>
          <w:p w14:paraId="198AC6B5" w14:textId="77777777" w:rsidR="00521065" w:rsidRPr="0052209F" w:rsidRDefault="00521065">
            <w:pPr>
              <w:pStyle w:val="Footer"/>
              <w:jc w:val="center"/>
              <w:rPr>
                <w:rFonts w:ascii="Verdana" w:hAnsi="Verdana"/>
                <w:sz w:val="18"/>
                <w:szCs w:val="18"/>
              </w:rPr>
            </w:pPr>
            <w:r w:rsidRPr="0052209F">
              <w:rPr>
                <w:rFonts w:ascii="Verdana" w:hAnsi="Verdana"/>
                <w:sz w:val="18"/>
                <w:szCs w:val="18"/>
              </w:rPr>
              <w:t xml:space="preserve">Page </w:t>
            </w:r>
            <w:r w:rsidR="00DE4C67" w:rsidRPr="0052209F">
              <w:rPr>
                <w:rFonts w:ascii="Verdana" w:hAnsi="Verdana"/>
                <w:b/>
                <w:bCs/>
                <w:sz w:val="18"/>
                <w:szCs w:val="18"/>
              </w:rPr>
              <w:fldChar w:fldCharType="begin"/>
            </w:r>
            <w:r w:rsidRPr="0052209F">
              <w:rPr>
                <w:rFonts w:ascii="Verdana" w:hAnsi="Verdana"/>
                <w:b/>
                <w:bCs/>
                <w:sz w:val="18"/>
                <w:szCs w:val="18"/>
              </w:rPr>
              <w:instrText xml:space="preserve"> PAGE </w:instrText>
            </w:r>
            <w:r w:rsidR="00DE4C67" w:rsidRPr="0052209F">
              <w:rPr>
                <w:rFonts w:ascii="Verdana" w:hAnsi="Verdana"/>
                <w:b/>
                <w:bCs/>
                <w:sz w:val="18"/>
                <w:szCs w:val="18"/>
              </w:rPr>
              <w:fldChar w:fldCharType="separate"/>
            </w:r>
            <w:r w:rsidR="00AA2A9D">
              <w:rPr>
                <w:rFonts w:ascii="Verdana" w:hAnsi="Verdana"/>
                <w:b/>
                <w:bCs/>
                <w:noProof/>
                <w:sz w:val="18"/>
                <w:szCs w:val="18"/>
              </w:rPr>
              <w:t>7</w:t>
            </w:r>
            <w:r w:rsidR="00DE4C67" w:rsidRPr="0052209F">
              <w:rPr>
                <w:rFonts w:ascii="Verdana" w:hAnsi="Verdana"/>
                <w:b/>
                <w:bCs/>
                <w:sz w:val="18"/>
                <w:szCs w:val="18"/>
              </w:rPr>
              <w:fldChar w:fldCharType="end"/>
            </w:r>
            <w:r w:rsidRPr="0052209F">
              <w:rPr>
                <w:rFonts w:ascii="Verdana" w:hAnsi="Verdana"/>
                <w:sz w:val="18"/>
                <w:szCs w:val="18"/>
              </w:rPr>
              <w:t xml:space="preserve"> of </w:t>
            </w:r>
            <w:r w:rsidR="00DE4C67" w:rsidRPr="0052209F">
              <w:rPr>
                <w:rFonts w:ascii="Verdana" w:hAnsi="Verdana"/>
                <w:b/>
                <w:bCs/>
                <w:sz w:val="18"/>
                <w:szCs w:val="18"/>
              </w:rPr>
              <w:fldChar w:fldCharType="begin"/>
            </w:r>
            <w:r w:rsidRPr="0052209F">
              <w:rPr>
                <w:rFonts w:ascii="Verdana" w:hAnsi="Verdana"/>
                <w:b/>
                <w:bCs/>
                <w:sz w:val="18"/>
                <w:szCs w:val="18"/>
              </w:rPr>
              <w:instrText xml:space="preserve"> NUMPAGES  </w:instrText>
            </w:r>
            <w:r w:rsidR="00DE4C67" w:rsidRPr="0052209F">
              <w:rPr>
                <w:rFonts w:ascii="Verdana" w:hAnsi="Verdana"/>
                <w:b/>
                <w:bCs/>
                <w:sz w:val="18"/>
                <w:szCs w:val="18"/>
              </w:rPr>
              <w:fldChar w:fldCharType="separate"/>
            </w:r>
            <w:r w:rsidR="00AA2A9D">
              <w:rPr>
                <w:rFonts w:ascii="Verdana" w:hAnsi="Verdana"/>
                <w:b/>
                <w:bCs/>
                <w:noProof/>
                <w:sz w:val="18"/>
                <w:szCs w:val="18"/>
              </w:rPr>
              <w:t>7</w:t>
            </w:r>
            <w:r w:rsidR="00DE4C67" w:rsidRPr="0052209F">
              <w:rPr>
                <w:rFonts w:ascii="Verdana" w:hAnsi="Verdana"/>
                <w:b/>
                <w:bCs/>
                <w:sz w:val="18"/>
                <w:szCs w:val="18"/>
              </w:rPr>
              <w:fldChar w:fldCharType="end"/>
            </w:r>
          </w:p>
        </w:sdtContent>
      </w:sdt>
    </w:sdtContent>
  </w:sdt>
  <w:p w14:paraId="7BF5CE1D" w14:textId="77777777" w:rsidR="00521065" w:rsidRDefault="005210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3541E" w14:textId="77777777" w:rsidR="00D46C12" w:rsidRDefault="00D46C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7DB5" w14:textId="77777777" w:rsidR="00572374" w:rsidRDefault="00572374" w:rsidP="0052209F">
      <w:pPr>
        <w:spacing w:after="0" w:line="240" w:lineRule="auto"/>
      </w:pPr>
      <w:r>
        <w:separator/>
      </w:r>
    </w:p>
  </w:footnote>
  <w:footnote w:type="continuationSeparator" w:id="0">
    <w:p w14:paraId="58DBE434" w14:textId="77777777" w:rsidR="00572374" w:rsidRDefault="00572374" w:rsidP="0052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FB542" w14:textId="77777777" w:rsidR="00D46C12" w:rsidRDefault="00D46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194E" w14:textId="77777777" w:rsidR="004519A3" w:rsidRPr="004519A3" w:rsidRDefault="004519A3">
    <w:pPr>
      <w:pStyle w:val="Header"/>
      <w:rPr>
        <w:rFonts w:ascii="Verdana" w:hAnsi="Verdana"/>
        <w:sz w:val="18"/>
        <w:szCs w:val="18"/>
      </w:rPr>
    </w:pPr>
    <w:r>
      <w:rPr>
        <w:rFonts w:ascii="Verdana" w:hAnsi="Verdana"/>
        <w:sz w:val="18"/>
        <w:szCs w:val="18"/>
      </w:rPr>
      <w:t xml:space="preserve">Policy Title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5F88C" w14:textId="77777777" w:rsidR="00D46C12" w:rsidRDefault="00D46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0DB"/>
    <w:multiLevelType w:val="hybridMultilevel"/>
    <w:tmpl w:val="1F0EA5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DC2FFE"/>
    <w:multiLevelType w:val="hybridMultilevel"/>
    <w:tmpl w:val="9B626916"/>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26B243FD"/>
    <w:multiLevelType w:val="hybridMultilevel"/>
    <w:tmpl w:val="F32C9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0446244"/>
    <w:multiLevelType w:val="hybridMultilevel"/>
    <w:tmpl w:val="1C9E1E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BD4BCF"/>
    <w:multiLevelType w:val="hybridMultilevel"/>
    <w:tmpl w:val="00D41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3AC1"/>
    <w:multiLevelType w:val="hybridMultilevel"/>
    <w:tmpl w:val="58F29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C169AE"/>
    <w:multiLevelType w:val="hybridMultilevel"/>
    <w:tmpl w:val="0D18CD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5AB7FEA"/>
    <w:multiLevelType w:val="hybridMultilevel"/>
    <w:tmpl w:val="0CBA85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7DA386B"/>
    <w:multiLevelType w:val="multilevel"/>
    <w:tmpl w:val="EA42AA62"/>
    <w:lvl w:ilvl="0">
      <w:start w:val="4"/>
      <w:numFmt w:val="decimal"/>
      <w:lvlText w:val="%1"/>
      <w:lvlJc w:val="left"/>
      <w:pPr>
        <w:ind w:left="375" w:hanging="3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5EF76418"/>
    <w:multiLevelType w:val="hybridMultilevel"/>
    <w:tmpl w:val="8ACE7A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B5EB2"/>
    <w:multiLevelType w:val="hybridMultilevel"/>
    <w:tmpl w:val="D1AC3370"/>
    <w:lvl w:ilvl="0" w:tplc="59BAC770">
      <w:numFmt w:val="bullet"/>
      <w:lvlText w:val="-"/>
      <w:lvlJc w:val="left"/>
      <w:pPr>
        <w:ind w:left="1080" w:hanging="360"/>
      </w:pPr>
      <w:rPr>
        <w:rFonts w:ascii="Verdana" w:eastAsia="Calibri" w:hAnsi="Verdana" w:cs="Times New Roman"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9B45C87"/>
    <w:multiLevelType w:val="hybridMultilevel"/>
    <w:tmpl w:val="01D00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0263B43"/>
    <w:multiLevelType w:val="hybridMultilevel"/>
    <w:tmpl w:val="61F699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4A359F8"/>
    <w:multiLevelType w:val="hybridMultilevel"/>
    <w:tmpl w:val="8488EE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9421DD6"/>
    <w:multiLevelType w:val="hybridMultilevel"/>
    <w:tmpl w:val="9B6ABA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BBC2F6F"/>
    <w:multiLevelType w:val="hybridMultilevel"/>
    <w:tmpl w:val="15D60030"/>
    <w:lvl w:ilvl="0" w:tplc="59BAC770">
      <w:numFmt w:val="bullet"/>
      <w:lvlText w:val="-"/>
      <w:lvlJc w:val="left"/>
      <w:pPr>
        <w:ind w:left="1080" w:hanging="360"/>
      </w:pPr>
      <w:rPr>
        <w:rFonts w:ascii="Verdana" w:eastAsia="Calibri" w:hAnsi="Verdana"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A64A27"/>
    <w:multiLevelType w:val="hybridMultilevel"/>
    <w:tmpl w:val="0EBECE8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5"/>
  </w:num>
  <w:num w:numId="4">
    <w:abstractNumId w:val="1"/>
  </w:num>
  <w:num w:numId="5">
    <w:abstractNumId w:val="13"/>
  </w:num>
  <w:num w:numId="6">
    <w:abstractNumId w:val="7"/>
  </w:num>
  <w:num w:numId="7">
    <w:abstractNumId w:val="14"/>
  </w:num>
  <w:num w:numId="8">
    <w:abstractNumId w:val="16"/>
  </w:num>
  <w:num w:numId="9">
    <w:abstractNumId w:val="6"/>
  </w:num>
  <w:num w:numId="10">
    <w:abstractNumId w:val="3"/>
  </w:num>
  <w:num w:numId="11">
    <w:abstractNumId w:val="2"/>
  </w:num>
  <w:num w:numId="12">
    <w:abstractNumId w:val="9"/>
  </w:num>
  <w:num w:numId="13">
    <w:abstractNumId w:val="8"/>
  </w:num>
  <w:num w:numId="14">
    <w:abstractNumId w:val="12"/>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0E"/>
    <w:rsid w:val="00010592"/>
    <w:rsid w:val="00020B9D"/>
    <w:rsid w:val="00025E90"/>
    <w:rsid w:val="000411FB"/>
    <w:rsid w:val="000B2266"/>
    <w:rsid w:val="000D2D48"/>
    <w:rsid w:val="000E10E4"/>
    <w:rsid w:val="000E3D1F"/>
    <w:rsid w:val="001019E1"/>
    <w:rsid w:val="0010263D"/>
    <w:rsid w:val="001652B8"/>
    <w:rsid w:val="001765B2"/>
    <w:rsid w:val="001A51B9"/>
    <w:rsid w:val="00201C73"/>
    <w:rsid w:val="002161CD"/>
    <w:rsid w:val="00222D37"/>
    <w:rsid w:val="00235F38"/>
    <w:rsid w:val="00236488"/>
    <w:rsid w:val="00237574"/>
    <w:rsid w:val="00240134"/>
    <w:rsid w:val="002478B9"/>
    <w:rsid w:val="00250CA0"/>
    <w:rsid w:val="002A60FB"/>
    <w:rsid w:val="00301051"/>
    <w:rsid w:val="00316BFF"/>
    <w:rsid w:val="00321DE2"/>
    <w:rsid w:val="0036241B"/>
    <w:rsid w:val="003642A1"/>
    <w:rsid w:val="00365899"/>
    <w:rsid w:val="00374BB7"/>
    <w:rsid w:val="00392DB6"/>
    <w:rsid w:val="003A02FC"/>
    <w:rsid w:val="003E089A"/>
    <w:rsid w:val="003E7C00"/>
    <w:rsid w:val="0042685C"/>
    <w:rsid w:val="004409D6"/>
    <w:rsid w:val="004519A3"/>
    <w:rsid w:val="0045599E"/>
    <w:rsid w:val="004B189A"/>
    <w:rsid w:val="0051042B"/>
    <w:rsid w:val="00521065"/>
    <w:rsid w:val="0052209F"/>
    <w:rsid w:val="00524E91"/>
    <w:rsid w:val="0053598F"/>
    <w:rsid w:val="00572374"/>
    <w:rsid w:val="005A2E51"/>
    <w:rsid w:val="005E5CFC"/>
    <w:rsid w:val="005F3A7D"/>
    <w:rsid w:val="006062AD"/>
    <w:rsid w:val="00613083"/>
    <w:rsid w:val="00636987"/>
    <w:rsid w:val="00662442"/>
    <w:rsid w:val="00663D2B"/>
    <w:rsid w:val="006961BA"/>
    <w:rsid w:val="006E378D"/>
    <w:rsid w:val="0070639A"/>
    <w:rsid w:val="007517E9"/>
    <w:rsid w:val="00752ACF"/>
    <w:rsid w:val="00757EE7"/>
    <w:rsid w:val="00760DF4"/>
    <w:rsid w:val="00761FB2"/>
    <w:rsid w:val="007767A4"/>
    <w:rsid w:val="00776BC1"/>
    <w:rsid w:val="0079140E"/>
    <w:rsid w:val="007D3CA7"/>
    <w:rsid w:val="007E1C18"/>
    <w:rsid w:val="007F22EF"/>
    <w:rsid w:val="0082006B"/>
    <w:rsid w:val="00821014"/>
    <w:rsid w:val="00872282"/>
    <w:rsid w:val="00887054"/>
    <w:rsid w:val="008C12BC"/>
    <w:rsid w:val="008C56DE"/>
    <w:rsid w:val="008D2373"/>
    <w:rsid w:val="00924653"/>
    <w:rsid w:val="00925CA7"/>
    <w:rsid w:val="00940874"/>
    <w:rsid w:val="00980A08"/>
    <w:rsid w:val="00996DCF"/>
    <w:rsid w:val="009B63A8"/>
    <w:rsid w:val="009E0C2F"/>
    <w:rsid w:val="00A07CB9"/>
    <w:rsid w:val="00A15C28"/>
    <w:rsid w:val="00A32146"/>
    <w:rsid w:val="00A7420E"/>
    <w:rsid w:val="00AA2A9D"/>
    <w:rsid w:val="00AB667E"/>
    <w:rsid w:val="00AE704F"/>
    <w:rsid w:val="00AF2283"/>
    <w:rsid w:val="00B16DAD"/>
    <w:rsid w:val="00B21611"/>
    <w:rsid w:val="00B241CB"/>
    <w:rsid w:val="00B75ED7"/>
    <w:rsid w:val="00BB0933"/>
    <w:rsid w:val="00BB465B"/>
    <w:rsid w:val="00BF5F05"/>
    <w:rsid w:val="00C07D73"/>
    <w:rsid w:val="00C1057C"/>
    <w:rsid w:val="00C33E12"/>
    <w:rsid w:val="00C444A6"/>
    <w:rsid w:val="00C5216E"/>
    <w:rsid w:val="00C604A2"/>
    <w:rsid w:val="00C6796F"/>
    <w:rsid w:val="00C7365F"/>
    <w:rsid w:val="00C938D5"/>
    <w:rsid w:val="00CA52C1"/>
    <w:rsid w:val="00CB7C78"/>
    <w:rsid w:val="00CC051F"/>
    <w:rsid w:val="00CF5830"/>
    <w:rsid w:val="00CF6CD3"/>
    <w:rsid w:val="00D46C12"/>
    <w:rsid w:val="00D541C0"/>
    <w:rsid w:val="00D72D87"/>
    <w:rsid w:val="00DA295C"/>
    <w:rsid w:val="00DE2CCC"/>
    <w:rsid w:val="00DE3572"/>
    <w:rsid w:val="00DE4C67"/>
    <w:rsid w:val="00DE7FD5"/>
    <w:rsid w:val="00E27202"/>
    <w:rsid w:val="00EA3A4F"/>
    <w:rsid w:val="00EA6B20"/>
    <w:rsid w:val="00EC1844"/>
    <w:rsid w:val="00EC1B10"/>
    <w:rsid w:val="00ED00B2"/>
    <w:rsid w:val="00EF3127"/>
    <w:rsid w:val="00F20E1E"/>
    <w:rsid w:val="00F21B56"/>
    <w:rsid w:val="00F23A87"/>
    <w:rsid w:val="00F46868"/>
    <w:rsid w:val="00F51FB6"/>
    <w:rsid w:val="00F707A2"/>
    <w:rsid w:val="00F95245"/>
    <w:rsid w:val="00FD0A94"/>
    <w:rsid w:val="00FF6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E2B18"/>
  <w15:docId w15:val="{86D9F2D8-5FC4-4835-9A3E-50272C00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10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10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40E"/>
    <w:pPr>
      <w:spacing w:after="0" w:line="240" w:lineRule="auto"/>
    </w:pPr>
  </w:style>
  <w:style w:type="paragraph" w:styleId="BalloonText">
    <w:name w:val="Balloon Text"/>
    <w:basedOn w:val="Normal"/>
    <w:link w:val="BalloonTextChar"/>
    <w:uiPriority w:val="99"/>
    <w:semiHidden/>
    <w:unhideWhenUsed/>
    <w:rsid w:val="00791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0E"/>
    <w:rPr>
      <w:rFonts w:ascii="Tahoma" w:hAnsi="Tahoma" w:cs="Tahoma"/>
      <w:sz w:val="16"/>
      <w:szCs w:val="16"/>
    </w:rPr>
  </w:style>
  <w:style w:type="paragraph" w:styleId="Header">
    <w:name w:val="header"/>
    <w:basedOn w:val="Normal"/>
    <w:link w:val="HeaderChar"/>
    <w:uiPriority w:val="99"/>
    <w:unhideWhenUsed/>
    <w:rsid w:val="0052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09F"/>
  </w:style>
  <w:style w:type="paragraph" w:styleId="Footer">
    <w:name w:val="footer"/>
    <w:basedOn w:val="Normal"/>
    <w:link w:val="FooterChar"/>
    <w:uiPriority w:val="99"/>
    <w:unhideWhenUsed/>
    <w:rsid w:val="0052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09F"/>
  </w:style>
  <w:style w:type="character" w:customStyle="1" w:styleId="Heading2Char">
    <w:name w:val="Heading 2 Char"/>
    <w:basedOn w:val="DefaultParagraphFont"/>
    <w:link w:val="Heading2"/>
    <w:uiPriority w:val="9"/>
    <w:rsid w:val="008210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1014"/>
    <w:rPr>
      <w:rFonts w:asciiTheme="majorHAnsi" w:eastAsiaTheme="majorEastAsia" w:hAnsiTheme="majorHAnsi" w:cstheme="majorBidi"/>
      <w:b/>
      <w:bCs/>
      <w:color w:val="4F81BD" w:themeColor="accent1"/>
    </w:rPr>
  </w:style>
  <w:style w:type="table" w:styleId="TableGrid">
    <w:name w:val="Table Grid"/>
    <w:basedOn w:val="TableNormal"/>
    <w:uiPriority w:val="59"/>
    <w:rsid w:val="0082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9E1"/>
    <w:rPr>
      <w:color w:val="0000FF" w:themeColor="hyperlink"/>
      <w:u w:val="single"/>
    </w:rPr>
  </w:style>
  <w:style w:type="paragraph" w:styleId="ListParagraph">
    <w:name w:val="List Paragraph"/>
    <w:basedOn w:val="Normal"/>
    <w:uiPriority w:val="34"/>
    <w:qFormat/>
    <w:rsid w:val="00F20E1E"/>
    <w:pPr>
      <w:ind w:left="720"/>
      <w:contextualSpacing/>
    </w:pPr>
  </w:style>
  <w:style w:type="character" w:styleId="CommentReference">
    <w:name w:val="annotation reference"/>
    <w:basedOn w:val="DefaultParagraphFont"/>
    <w:uiPriority w:val="99"/>
    <w:semiHidden/>
    <w:unhideWhenUsed/>
    <w:rsid w:val="002161CD"/>
    <w:rPr>
      <w:sz w:val="16"/>
      <w:szCs w:val="16"/>
    </w:rPr>
  </w:style>
  <w:style w:type="paragraph" w:styleId="CommentText">
    <w:name w:val="annotation text"/>
    <w:basedOn w:val="Normal"/>
    <w:link w:val="CommentTextChar"/>
    <w:uiPriority w:val="99"/>
    <w:semiHidden/>
    <w:unhideWhenUsed/>
    <w:rsid w:val="002161CD"/>
    <w:pPr>
      <w:spacing w:line="240" w:lineRule="auto"/>
    </w:pPr>
    <w:rPr>
      <w:sz w:val="20"/>
      <w:szCs w:val="20"/>
    </w:rPr>
  </w:style>
  <w:style w:type="character" w:customStyle="1" w:styleId="CommentTextChar">
    <w:name w:val="Comment Text Char"/>
    <w:basedOn w:val="DefaultParagraphFont"/>
    <w:link w:val="CommentText"/>
    <w:uiPriority w:val="99"/>
    <w:semiHidden/>
    <w:rsid w:val="002161CD"/>
    <w:rPr>
      <w:sz w:val="20"/>
      <w:szCs w:val="20"/>
    </w:rPr>
  </w:style>
  <w:style w:type="paragraph" w:styleId="CommentSubject">
    <w:name w:val="annotation subject"/>
    <w:basedOn w:val="CommentText"/>
    <w:next w:val="CommentText"/>
    <w:link w:val="CommentSubjectChar"/>
    <w:uiPriority w:val="99"/>
    <w:semiHidden/>
    <w:unhideWhenUsed/>
    <w:rsid w:val="002161CD"/>
    <w:rPr>
      <w:b/>
      <w:bCs/>
    </w:rPr>
  </w:style>
  <w:style w:type="character" w:customStyle="1" w:styleId="CommentSubjectChar">
    <w:name w:val="Comment Subject Char"/>
    <w:basedOn w:val="CommentTextChar"/>
    <w:link w:val="CommentSubject"/>
    <w:uiPriority w:val="99"/>
    <w:semiHidden/>
    <w:rsid w:val="00216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64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a.ac.uk/Publications/InformationAndGuidance/Documents/Quality-Code-Chapter-B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Macintyre</cp:lastModifiedBy>
  <cp:revision>2</cp:revision>
  <cp:lastPrinted>2018-02-27T15:17:00Z</cp:lastPrinted>
  <dcterms:created xsi:type="dcterms:W3CDTF">2019-07-22T12:12:00Z</dcterms:created>
  <dcterms:modified xsi:type="dcterms:W3CDTF">2019-07-22T12:12:00Z</dcterms:modified>
</cp:coreProperties>
</file>